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ind w:firstLine="420"/>
        <w:jc w:val="center"/>
        <w:rPr>
          <w:rFonts w:hint="eastAsia" w:ascii="宋体" w:hAnsi="宋体" w:cs="宋体"/>
          <w:color w:val="auto"/>
        </w:rPr>
      </w:pPr>
    </w:p>
    <w:p>
      <w:pPr>
        <w:pStyle w:val="13"/>
        <w:spacing w:line="360" w:lineRule="auto"/>
        <w:ind w:firstLine="420"/>
        <w:jc w:val="center"/>
        <w:rPr>
          <w:rFonts w:ascii="宋体" w:hAnsi="宋体" w:cs="宋体"/>
          <w:color w:val="auto"/>
        </w:rPr>
      </w:pPr>
    </w:p>
    <w:p>
      <w:pPr>
        <w:pStyle w:val="13"/>
        <w:spacing w:line="360" w:lineRule="auto"/>
        <w:ind w:firstLine="420"/>
        <w:jc w:val="center"/>
        <w:rPr>
          <w:rFonts w:ascii="宋体" w:hAnsi="宋体" w:cs="宋体"/>
          <w:color w:val="auto"/>
        </w:rPr>
      </w:pPr>
      <w:r>
        <w:rPr>
          <w:color w:val="auto"/>
        </w:rPr>
        <w:drawing>
          <wp:anchor distT="0" distB="0" distL="114300" distR="114300" simplePos="0" relativeHeight="251658240" behindDoc="0" locked="0" layoutInCell="1" allowOverlap="0">
            <wp:simplePos x="0" y="0"/>
            <wp:positionH relativeFrom="column">
              <wp:posOffset>2127250</wp:posOffset>
            </wp:positionH>
            <wp:positionV relativeFrom="paragraph">
              <wp:posOffset>219075</wp:posOffset>
            </wp:positionV>
            <wp:extent cx="2012950" cy="1830070"/>
            <wp:effectExtent l="0" t="0" r="6350" b="0"/>
            <wp:wrapSquare wrapText="bothSides"/>
            <wp:docPr id="2" name="图片 2" descr="学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校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12950" cy="1830070"/>
                    </a:xfrm>
                    <a:prstGeom prst="rect">
                      <a:avLst/>
                    </a:prstGeom>
                    <a:noFill/>
                    <a:ln>
                      <a:noFill/>
                    </a:ln>
                  </pic:spPr>
                </pic:pic>
              </a:graphicData>
            </a:graphic>
          </wp:anchor>
        </w:drawing>
      </w:r>
    </w:p>
    <w:p>
      <w:pPr>
        <w:pStyle w:val="13"/>
        <w:spacing w:line="360" w:lineRule="auto"/>
        <w:ind w:firstLine="420"/>
        <w:jc w:val="center"/>
        <w:rPr>
          <w:rFonts w:ascii="宋体" w:hAnsi="宋体" w:cs="宋体"/>
          <w:color w:val="auto"/>
        </w:rPr>
      </w:pPr>
    </w:p>
    <w:p>
      <w:pPr>
        <w:pStyle w:val="13"/>
        <w:spacing w:line="360" w:lineRule="auto"/>
        <w:ind w:firstLine="420"/>
        <w:jc w:val="center"/>
        <w:rPr>
          <w:rFonts w:ascii="宋体" w:hAnsi="宋体" w:cs="宋体"/>
          <w:color w:val="auto"/>
        </w:rPr>
      </w:pPr>
    </w:p>
    <w:p>
      <w:pPr>
        <w:pStyle w:val="13"/>
        <w:spacing w:line="360" w:lineRule="auto"/>
        <w:ind w:firstLine="420"/>
        <w:jc w:val="center"/>
        <w:rPr>
          <w:rFonts w:ascii="宋体" w:hAnsi="宋体" w:cs="宋体"/>
          <w:color w:val="auto"/>
        </w:rPr>
      </w:pPr>
    </w:p>
    <w:p>
      <w:pPr>
        <w:pStyle w:val="13"/>
        <w:spacing w:before="100" w:after="100" w:line="360" w:lineRule="auto"/>
        <w:ind w:firstLine="420"/>
        <w:jc w:val="center"/>
        <w:rPr>
          <w:rFonts w:ascii="宋体" w:hAnsi="宋体" w:cs="宋体"/>
          <w:color w:val="auto"/>
          <w:sz w:val="72"/>
          <w:szCs w:val="72"/>
        </w:rPr>
      </w:pPr>
    </w:p>
    <w:p>
      <w:pPr>
        <w:pStyle w:val="13"/>
        <w:spacing w:before="100" w:after="100" w:line="360" w:lineRule="auto"/>
        <w:jc w:val="center"/>
        <w:rPr>
          <w:rFonts w:ascii="微软雅黑" w:hAnsi="微软雅黑" w:eastAsia="微软雅黑" w:cs="微软雅黑"/>
          <w:b/>
          <w:bCs/>
          <w:color w:val="auto"/>
          <w:w w:val="80"/>
          <w:sz w:val="72"/>
          <w:szCs w:val="72"/>
        </w:rPr>
      </w:pPr>
      <w:r>
        <w:rPr>
          <w:rFonts w:hint="eastAsia" w:ascii="微软雅黑" w:hAnsi="微软雅黑" w:eastAsia="微软雅黑" w:cs="微软雅黑"/>
          <w:b/>
          <w:bCs/>
          <w:color w:val="auto"/>
          <w:w w:val="80"/>
          <w:sz w:val="72"/>
          <w:szCs w:val="72"/>
        </w:rPr>
        <w:t>海宁卫生学校教育质量年度报告</w:t>
      </w:r>
    </w:p>
    <w:p>
      <w:pPr>
        <w:pStyle w:val="13"/>
        <w:spacing w:line="360" w:lineRule="auto"/>
        <w:ind w:firstLine="420"/>
        <w:jc w:val="center"/>
        <w:rPr>
          <w:rFonts w:ascii="微软雅黑" w:hAnsi="微软雅黑" w:eastAsia="微软雅黑" w:cs="微软雅黑"/>
          <w:b/>
          <w:bCs/>
          <w:color w:val="auto"/>
          <w:w w:val="80"/>
          <w:sz w:val="56"/>
          <w:szCs w:val="56"/>
        </w:rPr>
      </w:pPr>
      <w:r>
        <w:rPr>
          <w:rFonts w:hint="eastAsia" w:ascii="微软雅黑" w:hAnsi="微软雅黑" w:eastAsia="微软雅黑" w:cs="微软雅黑"/>
          <w:b/>
          <w:bCs/>
          <w:color w:val="auto"/>
          <w:w w:val="80"/>
          <w:sz w:val="56"/>
          <w:szCs w:val="56"/>
        </w:rPr>
        <w:t>（201</w:t>
      </w:r>
      <w:r>
        <w:rPr>
          <w:rFonts w:hint="eastAsia" w:ascii="微软雅黑" w:hAnsi="微软雅黑" w:eastAsia="微软雅黑" w:cs="微软雅黑"/>
          <w:b/>
          <w:bCs/>
          <w:color w:val="auto"/>
          <w:w w:val="80"/>
          <w:sz w:val="56"/>
          <w:szCs w:val="56"/>
          <w:lang w:val="en-US" w:eastAsia="zh-CN"/>
        </w:rPr>
        <w:t>7</w:t>
      </w:r>
      <w:r>
        <w:rPr>
          <w:rFonts w:hint="eastAsia" w:ascii="微软雅黑" w:hAnsi="微软雅黑" w:eastAsia="微软雅黑" w:cs="微软雅黑"/>
          <w:b/>
          <w:bCs/>
          <w:color w:val="auto"/>
          <w:w w:val="80"/>
          <w:sz w:val="56"/>
          <w:szCs w:val="56"/>
        </w:rPr>
        <w:t>年度）</w:t>
      </w:r>
    </w:p>
    <w:p>
      <w:pPr>
        <w:pStyle w:val="13"/>
        <w:spacing w:line="360" w:lineRule="auto"/>
        <w:ind w:firstLine="420"/>
        <w:jc w:val="center"/>
        <w:rPr>
          <w:rFonts w:ascii="宋体" w:hAnsi="宋体" w:cs="宋体"/>
          <w:color w:val="auto"/>
        </w:rPr>
      </w:pPr>
    </w:p>
    <w:p>
      <w:pPr>
        <w:pStyle w:val="13"/>
        <w:spacing w:line="360" w:lineRule="auto"/>
        <w:ind w:firstLine="420"/>
        <w:jc w:val="center"/>
        <w:rPr>
          <w:rFonts w:ascii="宋体" w:hAnsi="宋体" w:cs="宋体"/>
          <w:color w:val="auto"/>
        </w:rPr>
      </w:pPr>
    </w:p>
    <w:p>
      <w:pPr>
        <w:pStyle w:val="13"/>
        <w:spacing w:line="360" w:lineRule="auto"/>
        <w:rPr>
          <w:rFonts w:ascii="宋体" w:hAnsi="宋体" w:cs="宋体"/>
          <w:color w:val="auto"/>
        </w:rPr>
      </w:pPr>
    </w:p>
    <w:p>
      <w:pPr>
        <w:pStyle w:val="13"/>
        <w:spacing w:line="360" w:lineRule="auto"/>
        <w:rPr>
          <w:rFonts w:ascii="黑体" w:hAnsi="黑体" w:eastAsia="黑体" w:cs="楷体_GB2312"/>
          <w:b/>
          <w:bCs/>
          <w:color w:val="auto"/>
          <w:sz w:val="44"/>
          <w:szCs w:val="44"/>
        </w:rPr>
      </w:pPr>
    </w:p>
    <w:p>
      <w:pPr>
        <w:pStyle w:val="13"/>
        <w:spacing w:line="360" w:lineRule="auto"/>
        <w:ind w:firstLine="420"/>
        <w:jc w:val="center"/>
        <w:rPr>
          <w:rFonts w:ascii="黑体" w:hAnsi="黑体" w:eastAsia="黑体" w:cs="楷体_GB2312"/>
          <w:b/>
          <w:bCs/>
          <w:color w:val="auto"/>
          <w:sz w:val="44"/>
          <w:szCs w:val="44"/>
        </w:rPr>
      </w:pPr>
      <w:r>
        <w:rPr>
          <w:rFonts w:hint="eastAsia" w:ascii="黑体" w:hAnsi="黑体" w:eastAsia="黑体" w:cs="楷体_GB2312"/>
          <w:b/>
          <w:bCs/>
          <w:color w:val="auto"/>
          <w:sz w:val="44"/>
          <w:szCs w:val="44"/>
        </w:rPr>
        <w:t>二〇一</w:t>
      </w:r>
      <w:r>
        <w:rPr>
          <w:rFonts w:hint="eastAsia" w:ascii="黑体" w:hAnsi="黑体" w:eastAsia="黑体" w:cs="楷体_GB2312"/>
          <w:b/>
          <w:bCs/>
          <w:color w:val="auto"/>
          <w:sz w:val="44"/>
          <w:szCs w:val="44"/>
          <w:lang w:eastAsia="zh-CN"/>
        </w:rPr>
        <w:t>七</w:t>
      </w:r>
      <w:r>
        <w:rPr>
          <w:rFonts w:hint="eastAsia" w:ascii="黑体" w:hAnsi="黑体" w:eastAsia="黑体" w:cs="楷体_GB2312"/>
          <w:b/>
          <w:bCs/>
          <w:color w:val="auto"/>
          <w:sz w:val="44"/>
          <w:szCs w:val="44"/>
        </w:rPr>
        <w:t>年十二月</w:t>
      </w:r>
    </w:p>
    <w:p>
      <w:pPr>
        <w:pStyle w:val="13"/>
        <w:spacing w:before="100" w:after="100" w:line="360" w:lineRule="auto"/>
        <w:ind w:firstLine="420"/>
        <w:jc w:val="center"/>
        <w:rPr>
          <w:color w:val="auto"/>
        </w:rPr>
      </w:pPr>
      <w:r>
        <w:rPr>
          <w:rFonts w:ascii="宋体" w:hAnsi="宋体" w:cs="宋体"/>
          <w:color w:val="auto"/>
        </w:rPr>
        <w:br w:type="page"/>
      </w:r>
    </w:p>
    <w:sdt>
      <w:sdtPr>
        <w:rPr>
          <w:rFonts w:ascii="Calibri" w:hAnsi="Calibri"/>
          <w:b w:val="0"/>
          <w:bCs w:val="0"/>
          <w:color w:val="auto"/>
          <w:kern w:val="2"/>
          <w:sz w:val="21"/>
          <w:szCs w:val="24"/>
          <w:lang w:val="zh-CN"/>
        </w:rPr>
        <w:id w:val="1037010710"/>
      </w:sdtPr>
      <w:sdtEndPr>
        <w:rPr>
          <w:rFonts w:ascii="Calibri" w:hAnsi="Calibri"/>
          <w:b w:val="0"/>
          <w:bCs w:val="0"/>
          <w:color w:val="auto"/>
          <w:kern w:val="2"/>
          <w:sz w:val="21"/>
          <w:szCs w:val="24"/>
          <w:lang w:val="zh-CN"/>
        </w:rPr>
      </w:sdtEndPr>
      <w:sdtContent>
        <w:p>
          <w:pPr>
            <w:pStyle w:val="13"/>
            <w:spacing w:before="100" w:after="100" w:line="360" w:lineRule="auto"/>
            <w:ind w:firstLine="420" w:firstLineChars="0"/>
            <w:jc w:val="center"/>
            <w:rPr>
              <w:color w:val="auto"/>
              <w:sz w:val="36"/>
              <w:szCs w:val="36"/>
            </w:rPr>
          </w:pPr>
          <w:bookmarkStart w:id="0" w:name="_Toc1101"/>
          <w:r>
            <w:rPr>
              <w:color w:val="auto"/>
              <w:lang w:val="zh-CN"/>
            </w:rPr>
            <w:tab/>
          </w:r>
          <w:r>
            <w:rPr>
              <w:color w:val="auto"/>
              <w:lang w:val="zh-CN"/>
            </w:rPr>
            <w:tab/>
          </w:r>
          <w:r>
            <w:rPr>
              <w:color w:val="auto"/>
              <w:sz w:val="36"/>
              <w:szCs w:val="36"/>
              <w:lang w:val="zh-CN"/>
            </w:rPr>
            <w:t>目</w:t>
          </w:r>
          <w:r>
            <w:rPr>
              <w:rFonts w:hint="eastAsia"/>
              <w:color w:val="auto"/>
              <w:sz w:val="36"/>
              <w:szCs w:val="36"/>
              <w:lang w:val="zh-CN"/>
            </w:rPr>
            <w:t xml:space="preserve">    </w:t>
          </w:r>
          <w:r>
            <w:rPr>
              <w:color w:val="auto"/>
              <w:sz w:val="36"/>
              <w:szCs w:val="36"/>
              <w:lang w:val="zh-CN"/>
            </w:rPr>
            <w:t>录</w:t>
          </w:r>
        </w:p>
        <w:p>
          <w:pPr>
            <w:pStyle w:val="12"/>
            <w:tabs>
              <w:tab w:val="right" w:leader="dot" w:pos="9736"/>
            </w:tabs>
            <w:rPr>
              <w:color w:val="auto"/>
            </w:rPr>
          </w:pPr>
        </w:p>
        <w:p>
          <w:pPr>
            <w:pStyle w:val="11"/>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"_Toc471905901" </w:instrText>
          </w:r>
          <w:r>
            <w:rPr>
              <w:color w:val="auto"/>
            </w:rPr>
            <w:fldChar w:fldCharType="separate"/>
          </w:r>
          <w:r>
            <w:rPr>
              <w:rStyle w:val="18"/>
              <w:rFonts w:ascii="黑体" w:hAnsi="黑体" w:eastAsia="黑体" w:cs="黑体"/>
              <w:color w:val="auto"/>
              <w:sz w:val="24"/>
              <w:szCs w:val="24"/>
            </w:rPr>
            <w:t>1.</w:t>
          </w:r>
          <w:r>
            <w:rPr>
              <w:rStyle w:val="18"/>
              <w:rFonts w:hint="eastAsia" w:ascii="黑体" w:hAnsi="黑体" w:eastAsia="黑体" w:cs="黑体"/>
              <w:color w:val="auto"/>
              <w:sz w:val="24"/>
              <w:szCs w:val="24"/>
            </w:rPr>
            <w:t>学校情况</w:t>
          </w:r>
          <w:r>
            <w:rPr>
              <w:color w:val="auto"/>
              <w:sz w:val="24"/>
            </w:rPr>
            <w:tab/>
          </w:r>
          <w:r>
            <w:rPr>
              <w:color w:val="auto"/>
              <w:sz w:val="24"/>
            </w:rPr>
            <w:fldChar w:fldCharType="begin"/>
          </w:r>
          <w:r>
            <w:rPr>
              <w:color w:val="auto"/>
              <w:sz w:val="24"/>
            </w:rPr>
            <w:instrText xml:space="preserve"> PAGEREF _Toc471905901 \h </w:instrText>
          </w:r>
          <w:r>
            <w:rPr>
              <w:color w:val="auto"/>
              <w:sz w:val="24"/>
            </w:rPr>
            <w:fldChar w:fldCharType="separate"/>
          </w:r>
          <w:r>
            <w:rPr>
              <w:color w:val="auto"/>
              <w:sz w:val="24"/>
            </w:rPr>
            <w:t>1</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"_Toc471905902" </w:instrText>
          </w:r>
          <w:r>
            <w:rPr>
              <w:color w:val="auto"/>
            </w:rPr>
            <w:fldChar w:fldCharType="separate"/>
          </w:r>
          <w:r>
            <w:rPr>
              <w:rStyle w:val="18"/>
              <w:color w:val="auto"/>
              <w:sz w:val="24"/>
              <w:szCs w:val="24"/>
            </w:rPr>
            <w:t>1.1</w:t>
          </w:r>
          <w:r>
            <w:rPr>
              <w:rStyle w:val="18"/>
              <w:rFonts w:hint="eastAsia"/>
              <w:color w:val="auto"/>
              <w:sz w:val="24"/>
              <w:szCs w:val="24"/>
            </w:rPr>
            <w:t>学校概况</w:t>
          </w:r>
          <w:r>
            <w:rPr>
              <w:color w:val="auto"/>
              <w:sz w:val="24"/>
            </w:rPr>
            <w:tab/>
          </w:r>
          <w:r>
            <w:rPr>
              <w:color w:val="auto"/>
              <w:sz w:val="24"/>
            </w:rPr>
            <w:fldChar w:fldCharType="begin"/>
          </w:r>
          <w:r>
            <w:rPr>
              <w:color w:val="auto"/>
              <w:sz w:val="24"/>
            </w:rPr>
            <w:instrText xml:space="preserve"> PAGEREF _Toc471905902 \h </w:instrText>
          </w:r>
          <w:r>
            <w:rPr>
              <w:color w:val="auto"/>
              <w:sz w:val="24"/>
            </w:rPr>
            <w:fldChar w:fldCharType="separate"/>
          </w:r>
          <w:r>
            <w:rPr>
              <w:color w:val="auto"/>
              <w:sz w:val="24"/>
            </w:rPr>
            <w:t>1</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"_Toc471905903" </w:instrText>
          </w:r>
          <w:r>
            <w:rPr>
              <w:color w:val="auto"/>
            </w:rPr>
            <w:fldChar w:fldCharType="separate"/>
          </w:r>
          <w:r>
            <w:rPr>
              <w:rStyle w:val="18"/>
              <w:color w:val="auto"/>
              <w:sz w:val="24"/>
              <w:szCs w:val="24"/>
            </w:rPr>
            <w:t>1.2</w:t>
          </w:r>
          <w:r>
            <w:rPr>
              <w:rStyle w:val="18"/>
              <w:rFonts w:hint="eastAsia"/>
              <w:color w:val="auto"/>
              <w:sz w:val="24"/>
              <w:szCs w:val="24"/>
            </w:rPr>
            <w:t>学生情况</w:t>
          </w:r>
          <w:r>
            <w:rPr>
              <w:color w:val="auto"/>
              <w:sz w:val="24"/>
            </w:rPr>
            <w:tab/>
          </w:r>
          <w:r>
            <w:rPr>
              <w:color w:val="auto"/>
              <w:sz w:val="24"/>
            </w:rPr>
            <w:fldChar w:fldCharType="begin"/>
          </w:r>
          <w:r>
            <w:rPr>
              <w:color w:val="auto"/>
              <w:sz w:val="24"/>
            </w:rPr>
            <w:instrText xml:space="preserve"> PAGEREF _Toc471905903 \h </w:instrText>
          </w:r>
          <w:r>
            <w:rPr>
              <w:color w:val="auto"/>
              <w:sz w:val="24"/>
            </w:rPr>
            <w:fldChar w:fldCharType="separate"/>
          </w:r>
          <w:r>
            <w:rPr>
              <w:color w:val="auto"/>
              <w:sz w:val="24"/>
            </w:rPr>
            <w:t>1</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"_Toc471905904" </w:instrText>
          </w:r>
          <w:r>
            <w:rPr>
              <w:color w:val="auto"/>
            </w:rPr>
            <w:fldChar w:fldCharType="separate"/>
          </w:r>
          <w:r>
            <w:rPr>
              <w:rStyle w:val="18"/>
              <w:color w:val="auto"/>
              <w:sz w:val="24"/>
              <w:szCs w:val="24"/>
            </w:rPr>
            <w:t>1.3</w:t>
          </w:r>
          <w:r>
            <w:rPr>
              <w:rStyle w:val="18"/>
              <w:rFonts w:hint="eastAsia"/>
              <w:color w:val="auto"/>
              <w:sz w:val="24"/>
              <w:szCs w:val="24"/>
            </w:rPr>
            <w:t>教师队伍</w:t>
          </w:r>
          <w:r>
            <w:rPr>
              <w:color w:val="auto"/>
              <w:sz w:val="24"/>
            </w:rPr>
            <w:tab/>
          </w:r>
          <w:r>
            <w:rPr>
              <w:color w:val="auto"/>
              <w:sz w:val="24"/>
            </w:rPr>
            <w:fldChar w:fldCharType="begin"/>
          </w:r>
          <w:r>
            <w:rPr>
              <w:color w:val="auto"/>
              <w:sz w:val="24"/>
            </w:rPr>
            <w:instrText xml:space="preserve"> PAGEREF _Toc471905904 \h </w:instrText>
          </w:r>
          <w:r>
            <w:rPr>
              <w:color w:val="auto"/>
              <w:sz w:val="24"/>
            </w:rPr>
            <w:fldChar w:fldCharType="separate"/>
          </w:r>
          <w:r>
            <w:rPr>
              <w:color w:val="auto"/>
              <w:sz w:val="24"/>
            </w:rPr>
            <w:t>3</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"_Toc471905905" </w:instrText>
          </w:r>
          <w:r>
            <w:rPr>
              <w:color w:val="auto"/>
            </w:rPr>
            <w:fldChar w:fldCharType="separate"/>
          </w:r>
          <w:r>
            <w:rPr>
              <w:rStyle w:val="18"/>
              <w:color w:val="auto"/>
              <w:sz w:val="24"/>
              <w:szCs w:val="24"/>
            </w:rPr>
            <w:t>1.4</w:t>
          </w:r>
          <w:r>
            <w:rPr>
              <w:rStyle w:val="18"/>
              <w:rFonts w:hint="eastAsia"/>
              <w:color w:val="auto"/>
              <w:sz w:val="24"/>
              <w:szCs w:val="24"/>
            </w:rPr>
            <w:t>设施设备</w:t>
          </w:r>
          <w:r>
            <w:rPr>
              <w:color w:val="auto"/>
              <w:sz w:val="24"/>
            </w:rPr>
            <w:tab/>
          </w:r>
          <w:r>
            <w:rPr>
              <w:color w:val="auto"/>
              <w:sz w:val="24"/>
            </w:rPr>
            <w:fldChar w:fldCharType="begin"/>
          </w:r>
          <w:r>
            <w:rPr>
              <w:color w:val="auto"/>
              <w:sz w:val="24"/>
            </w:rPr>
            <w:instrText xml:space="preserve"> PAGEREF _Toc471905905 \h </w:instrText>
          </w:r>
          <w:r>
            <w:rPr>
              <w:color w:val="auto"/>
              <w:sz w:val="24"/>
            </w:rPr>
            <w:fldChar w:fldCharType="separate"/>
          </w:r>
          <w:r>
            <w:rPr>
              <w:color w:val="auto"/>
              <w:sz w:val="24"/>
            </w:rPr>
            <w:t>3</w:t>
          </w:r>
          <w:r>
            <w:rPr>
              <w:color w:val="auto"/>
              <w:sz w:val="24"/>
            </w:rPr>
            <w:fldChar w:fldCharType="end"/>
          </w:r>
          <w:r>
            <w:rPr>
              <w:color w:val="auto"/>
              <w:sz w:val="24"/>
            </w:rPr>
            <w:fldChar w:fldCharType="end"/>
          </w:r>
        </w:p>
        <w:p>
          <w:pPr>
            <w:pStyle w:val="11"/>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"_Toc471905906" </w:instrText>
          </w:r>
          <w:r>
            <w:rPr>
              <w:color w:val="auto"/>
            </w:rPr>
            <w:fldChar w:fldCharType="separate"/>
          </w:r>
          <w:r>
            <w:rPr>
              <w:rStyle w:val="18"/>
              <w:rFonts w:ascii="黑体" w:hAnsi="黑体" w:eastAsia="黑体" w:cs="黑体"/>
              <w:color w:val="auto"/>
              <w:sz w:val="24"/>
              <w:szCs w:val="24"/>
            </w:rPr>
            <w:t>2.</w:t>
          </w:r>
          <w:r>
            <w:rPr>
              <w:rStyle w:val="18"/>
              <w:rFonts w:hint="eastAsia" w:ascii="黑体" w:hAnsi="黑体" w:eastAsia="黑体" w:cs="黑体"/>
              <w:color w:val="auto"/>
              <w:sz w:val="24"/>
              <w:szCs w:val="24"/>
            </w:rPr>
            <w:t>学生发展</w:t>
          </w:r>
          <w:r>
            <w:rPr>
              <w:color w:val="auto"/>
              <w:sz w:val="24"/>
            </w:rPr>
            <w:tab/>
          </w:r>
          <w:r>
            <w:rPr>
              <w:color w:val="auto"/>
              <w:sz w:val="24"/>
            </w:rPr>
            <w:fldChar w:fldCharType="begin"/>
          </w:r>
          <w:r>
            <w:rPr>
              <w:color w:val="auto"/>
              <w:sz w:val="24"/>
            </w:rPr>
            <w:instrText xml:space="preserve"> PAGEREF _Toc471905906 \h </w:instrText>
          </w:r>
          <w:r>
            <w:rPr>
              <w:color w:val="auto"/>
              <w:sz w:val="24"/>
            </w:rPr>
            <w:fldChar w:fldCharType="separate"/>
          </w:r>
          <w:r>
            <w:rPr>
              <w:color w:val="auto"/>
              <w:sz w:val="24"/>
            </w:rPr>
            <w:t>4</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"_Toc471905907" </w:instrText>
          </w:r>
          <w:r>
            <w:rPr>
              <w:color w:val="auto"/>
            </w:rPr>
            <w:fldChar w:fldCharType="separate"/>
          </w:r>
          <w:r>
            <w:rPr>
              <w:rStyle w:val="18"/>
              <w:color w:val="auto"/>
              <w:sz w:val="24"/>
              <w:szCs w:val="24"/>
            </w:rPr>
            <w:t>2.1</w:t>
          </w:r>
          <w:r>
            <w:rPr>
              <w:rStyle w:val="18"/>
              <w:rFonts w:hint="eastAsia"/>
              <w:color w:val="auto"/>
              <w:sz w:val="24"/>
              <w:szCs w:val="24"/>
            </w:rPr>
            <w:t>学生素质</w:t>
          </w:r>
          <w:r>
            <w:rPr>
              <w:color w:val="auto"/>
              <w:sz w:val="24"/>
            </w:rPr>
            <w:tab/>
          </w:r>
          <w:r>
            <w:rPr>
              <w:color w:val="auto"/>
              <w:sz w:val="24"/>
            </w:rPr>
            <w:fldChar w:fldCharType="begin"/>
          </w:r>
          <w:r>
            <w:rPr>
              <w:color w:val="auto"/>
              <w:sz w:val="24"/>
            </w:rPr>
            <w:instrText xml:space="preserve"> PAGEREF _Toc471905907 \h </w:instrText>
          </w:r>
          <w:r>
            <w:rPr>
              <w:color w:val="auto"/>
              <w:sz w:val="24"/>
            </w:rPr>
            <w:fldChar w:fldCharType="separate"/>
          </w:r>
          <w:r>
            <w:rPr>
              <w:color w:val="auto"/>
              <w:sz w:val="24"/>
            </w:rPr>
            <w:t>4</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"_Toc471905908" </w:instrText>
          </w:r>
          <w:r>
            <w:rPr>
              <w:color w:val="auto"/>
            </w:rPr>
            <w:fldChar w:fldCharType="separate"/>
          </w:r>
          <w:r>
            <w:rPr>
              <w:rStyle w:val="18"/>
              <w:color w:val="auto"/>
              <w:sz w:val="24"/>
              <w:szCs w:val="24"/>
            </w:rPr>
            <w:t>2.2</w:t>
          </w:r>
          <w:r>
            <w:rPr>
              <w:rStyle w:val="18"/>
              <w:rFonts w:hint="eastAsia"/>
              <w:color w:val="auto"/>
              <w:sz w:val="24"/>
              <w:szCs w:val="24"/>
            </w:rPr>
            <w:t>在校体验</w:t>
          </w:r>
          <w:r>
            <w:rPr>
              <w:color w:val="auto"/>
              <w:sz w:val="24"/>
            </w:rPr>
            <w:tab/>
          </w:r>
          <w:r>
            <w:rPr>
              <w:color w:val="auto"/>
              <w:sz w:val="24"/>
            </w:rPr>
            <w:fldChar w:fldCharType="begin"/>
          </w:r>
          <w:r>
            <w:rPr>
              <w:color w:val="auto"/>
              <w:sz w:val="24"/>
            </w:rPr>
            <w:instrText xml:space="preserve"> PAGEREF _Toc471905908 \h </w:instrText>
          </w:r>
          <w:r>
            <w:rPr>
              <w:color w:val="auto"/>
              <w:sz w:val="24"/>
            </w:rPr>
            <w:fldChar w:fldCharType="separate"/>
          </w:r>
          <w:r>
            <w:rPr>
              <w:color w:val="auto"/>
              <w:sz w:val="24"/>
            </w:rPr>
            <w:t>5</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"_Toc471905909" </w:instrText>
          </w:r>
          <w:r>
            <w:rPr>
              <w:color w:val="auto"/>
            </w:rPr>
            <w:fldChar w:fldCharType="separate"/>
          </w:r>
          <w:r>
            <w:rPr>
              <w:rStyle w:val="18"/>
              <w:color w:val="auto"/>
              <w:sz w:val="24"/>
              <w:szCs w:val="24"/>
            </w:rPr>
            <w:t>2.3</w:t>
          </w:r>
          <w:r>
            <w:rPr>
              <w:rStyle w:val="18"/>
              <w:rFonts w:hint="eastAsia"/>
              <w:color w:val="auto"/>
              <w:sz w:val="24"/>
              <w:szCs w:val="24"/>
            </w:rPr>
            <w:t>资助情况</w:t>
          </w:r>
          <w:r>
            <w:rPr>
              <w:color w:val="auto"/>
              <w:sz w:val="24"/>
            </w:rPr>
            <w:tab/>
          </w:r>
          <w:r>
            <w:rPr>
              <w:color w:val="auto"/>
              <w:sz w:val="24"/>
            </w:rPr>
            <w:fldChar w:fldCharType="begin"/>
          </w:r>
          <w:r>
            <w:rPr>
              <w:color w:val="auto"/>
              <w:sz w:val="24"/>
            </w:rPr>
            <w:instrText xml:space="preserve"> PAGEREF _Toc471905909 \h </w:instrText>
          </w:r>
          <w:r>
            <w:rPr>
              <w:color w:val="auto"/>
              <w:sz w:val="24"/>
            </w:rPr>
            <w:fldChar w:fldCharType="separate"/>
          </w:r>
          <w:r>
            <w:rPr>
              <w:color w:val="auto"/>
              <w:sz w:val="24"/>
            </w:rPr>
            <w:t>5</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"_Toc471905912" </w:instrText>
          </w:r>
          <w:r>
            <w:rPr>
              <w:color w:val="auto"/>
            </w:rPr>
            <w:fldChar w:fldCharType="separate"/>
          </w:r>
          <w:r>
            <w:rPr>
              <w:rStyle w:val="18"/>
              <w:color w:val="auto"/>
              <w:sz w:val="24"/>
              <w:szCs w:val="24"/>
            </w:rPr>
            <w:t>2.4</w:t>
          </w:r>
          <w:r>
            <w:rPr>
              <w:rStyle w:val="18"/>
              <w:rFonts w:hint="eastAsia"/>
              <w:color w:val="auto"/>
              <w:sz w:val="24"/>
              <w:szCs w:val="24"/>
            </w:rPr>
            <w:t>就业质量</w:t>
          </w:r>
          <w:r>
            <w:rPr>
              <w:color w:val="auto"/>
              <w:sz w:val="24"/>
            </w:rPr>
            <w:tab/>
          </w:r>
          <w:r>
            <w:rPr>
              <w:color w:val="auto"/>
              <w:sz w:val="24"/>
            </w:rPr>
            <w:fldChar w:fldCharType="begin"/>
          </w:r>
          <w:r>
            <w:rPr>
              <w:color w:val="auto"/>
              <w:sz w:val="24"/>
            </w:rPr>
            <w:instrText xml:space="preserve"> PAGEREF _Toc471905912 \h </w:instrText>
          </w:r>
          <w:r>
            <w:rPr>
              <w:color w:val="auto"/>
              <w:sz w:val="24"/>
            </w:rPr>
            <w:fldChar w:fldCharType="separate"/>
          </w:r>
          <w:r>
            <w:rPr>
              <w:color w:val="auto"/>
              <w:sz w:val="24"/>
            </w:rPr>
            <w:t>6</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"_Toc471905915" </w:instrText>
          </w:r>
          <w:r>
            <w:rPr>
              <w:color w:val="auto"/>
            </w:rPr>
            <w:fldChar w:fldCharType="separate"/>
          </w:r>
          <w:r>
            <w:rPr>
              <w:rStyle w:val="18"/>
              <w:color w:val="auto"/>
              <w:sz w:val="24"/>
              <w:szCs w:val="24"/>
            </w:rPr>
            <w:t>2.5</w:t>
          </w:r>
          <w:r>
            <w:rPr>
              <w:rStyle w:val="18"/>
              <w:rFonts w:hint="eastAsia"/>
              <w:color w:val="auto"/>
              <w:sz w:val="24"/>
              <w:szCs w:val="24"/>
            </w:rPr>
            <w:t>职业发展</w:t>
          </w:r>
          <w:r>
            <w:rPr>
              <w:color w:val="auto"/>
              <w:sz w:val="24"/>
            </w:rPr>
            <w:tab/>
          </w:r>
          <w:r>
            <w:rPr>
              <w:color w:val="auto"/>
              <w:sz w:val="24"/>
            </w:rPr>
            <w:fldChar w:fldCharType="begin"/>
          </w:r>
          <w:r>
            <w:rPr>
              <w:color w:val="auto"/>
              <w:sz w:val="24"/>
            </w:rPr>
            <w:instrText xml:space="preserve"> PAGEREF _Toc471905915 \h </w:instrText>
          </w:r>
          <w:r>
            <w:rPr>
              <w:color w:val="auto"/>
              <w:sz w:val="24"/>
            </w:rPr>
            <w:fldChar w:fldCharType="separate"/>
          </w:r>
          <w:r>
            <w:rPr>
              <w:color w:val="auto"/>
              <w:sz w:val="24"/>
            </w:rPr>
            <w:t>6</w:t>
          </w:r>
          <w:r>
            <w:rPr>
              <w:color w:val="auto"/>
              <w:sz w:val="24"/>
            </w:rPr>
            <w:fldChar w:fldCharType="end"/>
          </w:r>
          <w:r>
            <w:rPr>
              <w:color w:val="auto"/>
              <w:sz w:val="24"/>
            </w:rPr>
            <w:fldChar w:fldCharType="end"/>
          </w:r>
        </w:p>
        <w:p>
          <w:pPr>
            <w:pStyle w:val="11"/>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"_Toc471905916" </w:instrText>
          </w:r>
          <w:r>
            <w:rPr>
              <w:color w:val="auto"/>
            </w:rPr>
            <w:fldChar w:fldCharType="separate"/>
          </w:r>
          <w:r>
            <w:rPr>
              <w:rStyle w:val="18"/>
              <w:rFonts w:ascii="黑体" w:hAnsi="黑体" w:eastAsia="黑体" w:cs="黑体"/>
              <w:color w:val="auto"/>
              <w:sz w:val="24"/>
              <w:szCs w:val="24"/>
            </w:rPr>
            <w:t>3.</w:t>
          </w:r>
          <w:r>
            <w:rPr>
              <w:rStyle w:val="18"/>
              <w:rFonts w:hint="eastAsia" w:ascii="黑体" w:hAnsi="黑体" w:eastAsia="黑体" w:cs="黑体"/>
              <w:color w:val="auto"/>
              <w:sz w:val="24"/>
              <w:szCs w:val="24"/>
            </w:rPr>
            <w:t>质量保障措施</w:t>
          </w:r>
          <w:r>
            <w:rPr>
              <w:color w:val="auto"/>
              <w:sz w:val="24"/>
            </w:rPr>
            <w:tab/>
          </w:r>
          <w:r>
            <w:rPr>
              <w:color w:val="auto"/>
              <w:sz w:val="24"/>
            </w:rPr>
            <w:fldChar w:fldCharType="begin"/>
          </w:r>
          <w:r>
            <w:rPr>
              <w:color w:val="auto"/>
              <w:sz w:val="24"/>
            </w:rPr>
            <w:instrText xml:space="preserve"> PAGEREF _Toc471905916 \h </w:instrText>
          </w:r>
          <w:r>
            <w:rPr>
              <w:color w:val="auto"/>
              <w:sz w:val="24"/>
            </w:rPr>
            <w:fldChar w:fldCharType="separate"/>
          </w:r>
          <w:r>
            <w:rPr>
              <w:color w:val="auto"/>
              <w:sz w:val="24"/>
            </w:rPr>
            <w:t>7</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"_Toc471905917" </w:instrText>
          </w:r>
          <w:r>
            <w:rPr>
              <w:color w:val="auto"/>
            </w:rPr>
            <w:fldChar w:fldCharType="separate"/>
          </w:r>
          <w:r>
            <w:rPr>
              <w:rStyle w:val="18"/>
              <w:color w:val="auto"/>
              <w:sz w:val="24"/>
              <w:szCs w:val="24"/>
            </w:rPr>
            <w:t>3.1</w:t>
          </w:r>
          <w:r>
            <w:rPr>
              <w:rStyle w:val="18"/>
              <w:rFonts w:hint="eastAsia"/>
              <w:color w:val="auto"/>
              <w:sz w:val="24"/>
              <w:szCs w:val="24"/>
            </w:rPr>
            <w:t>专业动态调整</w:t>
          </w:r>
          <w:r>
            <w:rPr>
              <w:color w:val="auto"/>
              <w:sz w:val="24"/>
            </w:rPr>
            <w:tab/>
          </w:r>
          <w:r>
            <w:rPr>
              <w:color w:val="auto"/>
              <w:sz w:val="24"/>
            </w:rPr>
            <w:fldChar w:fldCharType="begin"/>
          </w:r>
          <w:r>
            <w:rPr>
              <w:color w:val="auto"/>
              <w:sz w:val="24"/>
            </w:rPr>
            <w:instrText xml:space="preserve"> PAGEREF _Toc471905917 \h </w:instrText>
          </w:r>
          <w:r>
            <w:rPr>
              <w:color w:val="auto"/>
              <w:sz w:val="24"/>
            </w:rPr>
            <w:fldChar w:fldCharType="separate"/>
          </w:r>
          <w:r>
            <w:rPr>
              <w:color w:val="auto"/>
              <w:sz w:val="24"/>
            </w:rPr>
            <w:t>7</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"_Toc471905919" </w:instrText>
          </w:r>
          <w:r>
            <w:rPr>
              <w:color w:val="auto"/>
            </w:rPr>
            <w:fldChar w:fldCharType="separate"/>
          </w:r>
          <w:r>
            <w:rPr>
              <w:rStyle w:val="18"/>
              <w:color w:val="auto"/>
              <w:sz w:val="24"/>
              <w:szCs w:val="24"/>
            </w:rPr>
            <w:t>3.2</w:t>
          </w:r>
          <w:r>
            <w:rPr>
              <w:rStyle w:val="18"/>
              <w:rFonts w:hint="eastAsia"/>
              <w:color w:val="auto"/>
              <w:sz w:val="24"/>
              <w:szCs w:val="24"/>
            </w:rPr>
            <w:t>教育教学改革</w:t>
          </w:r>
          <w:r>
            <w:rPr>
              <w:color w:val="auto"/>
              <w:sz w:val="24"/>
            </w:rPr>
            <w:tab/>
          </w:r>
          <w:r>
            <w:rPr>
              <w:rFonts w:hint="eastAsia"/>
              <w:color w:val="auto"/>
              <w:sz w:val="24"/>
              <w:lang w:val="en-US" w:eastAsia="zh-CN"/>
            </w:rPr>
            <w:t>8</w:t>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"_Toc471905920" </w:instrText>
          </w:r>
          <w:r>
            <w:rPr>
              <w:color w:val="auto"/>
            </w:rPr>
            <w:fldChar w:fldCharType="separate"/>
          </w:r>
          <w:r>
            <w:rPr>
              <w:rStyle w:val="18"/>
              <w:color w:val="auto"/>
              <w:sz w:val="24"/>
              <w:szCs w:val="24"/>
            </w:rPr>
            <w:t>3.</w:t>
          </w:r>
          <w:r>
            <w:rPr>
              <w:rStyle w:val="18"/>
              <w:rFonts w:hint="eastAsia"/>
              <w:color w:val="auto"/>
              <w:sz w:val="24"/>
              <w:szCs w:val="24"/>
            </w:rPr>
            <w:t>3教师培养培训</w:t>
          </w:r>
          <w:r>
            <w:rPr>
              <w:color w:val="auto"/>
              <w:sz w:val="24"/>
            </w:rPr>
            <w:tab/>
          </w:r>
          <w:r>
            <w:rPr>
              <w:color w:val="auto"/>
              <w:sz w:val="24"/>
            </w:rPr>
            <w:fldChar w:fldCharType="begin"/>
          </w:r>
          <w:r>
            <w:rPr>
              <w:color w:val="auto"/>
              <w:sz w:val="24"/>
            </w:rPr>
            <w:instrText xml:space="preserve"> PAGEREF _Toc471905920 \h </w:instrText>
          </w:r>
          <w:r>
            <w:rPr>
              <w:color w:val="auto"/>
              <w:sz w:val="24"/>
            </w:rPr>
            <w:fldChar w:fldCharType="separate"/>
          </w:r>
          <w:r>
            <w:rPr>
              <w:color w:val="auto"/>
              <w:sz w:val="24"/>
            </w:rPr>
            <w:t>8</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"_Toc471905922" </w:instrText>
          </w:r>
          <w:r>
            <w:rPr>
              <w:color w:val="auto"/>
            </w:rPr>
            <w:fldChar w:fldCharType="separate"/>
          </w:r>
          <w:r>
            <w:rPr>
              <w:rStyle w:val="18"/>
              <w:color w:val="auto"/>
              <w:sz w:val="24"/>
              <w:szCs w:val="24"/>
            </w:rPr>
            <w:t>3.</w:t>
          </w:r>
          <w:r>
            <w:rPr>
              <w:rStyle w:val="18"/>
              <w:rFonts w:hint="eastAsia"/>
              <w:color w:val="auto"/>
              <w:sz w:val="24"/>
              <w:szCs w:val="24"/>
            </w:rPr>
            <w:t>4规范管理</w:t>
          </w:r>
          <w:r>
            <w:rPr>
              <w:color w:val="auto"/>
              <w:sz w:val="24"/>
            </w:rPr>
            <w:tab/>
          </w:r>
          <w:r>
            <w:rPr>
              <w:color w:val="auto"/>
              <w:sz w:val="24"/>
            </w:rPr>
            <w:fldChar w:fldCharType="begin"/>
          </w:r>
          <w:r>
            <w:rPr>
              <w:color w:val="auto"/>
              <w:sz w:val="24"/>
            </w:rPr>
            <w:instrText xml:space="preserve"> PAGEREF _Toc471905922 \h </w:instrText>
          </w:r>
          <w:r>
            <w:rPr>
              <w:color w:val="auto"/>
              <w:sz w:val="24"/>
            </w:rPr>
            <w:fldChar w:fldCharType="separate"/>
          </w:r>
          <w:r>
            <w:rPr>
              <w:color w:val="auto"/>
              <w:sz w:val="24"/>
            </w:rPr>
            <w:t>10</w:t>
          </w:r>
          <w:r>
            <w:rPr>
              <w:color w:val="auto"/>
              <w:sz w:val="24"/>
            </w:rPr>
            <w:fldChar w:fldCharType="end"/>
          </w:r>
          <w:r>
            <w:rPr>
              <w:color w:val="auto"/>
              <w:sz w:val="24"/>
            </w:rPr>
            <w:fldChar w:fldCharType="end"/>
          </w:r>
        </w:p>
        <w:p>
          <w:pPr>
            <w:pStyle w:val="12"/>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"_Toc471905923" </w:instrText>
          </w:r>
          <w:r>
            <w:rPr>
              <w:color w:val="auto"/>
            </w:rPr>
            <w:fldChar w:fldCharType="separate"/>
          </w:r>
          <w:r>
            <w:rPr>
              <w:rStyle w:val="18"/>
              <w:rFonts w:ascii="黑体" w:hAnsi="黑体"/>
              <w:color w:val="auto"/>
              <w:sz w:val="24"/>
              <w:szCs w:val="24"/>
            </w:rPr>
            <w:t>3.4.1</w:t>
          </w:r>
          <w:r>
            <w:rPr>
              <w:rStyle w:val="18"/>
              <w:rFonts w:hint="eastAsia" w:ascii="黑体" w:hAnsi="黑体"/>
              <w:color w:val="auto"/>
              <w:sz w:val="24"/>
              <w:szCs w:val="24"/>
            </w:rPr>
            <w:t>教学管理</w:t>
          </w:r>
          <w:r>
            <w:rPr>
              <w:color w:val="auto"/>
              <w:sz w:val="24"/>
            </w:rPr>
            <w:tab/>
          </w:r>
          <w:r>
            <w:rPr>
              <w:color w:val="auto"/>
              <w:sz w:val="24"/>
            </w:rPr>
            <w:fldChar w:fldCharType="begin"/>
          </w:r>
          <w:r>
            <w:rPr>
              <w:color w:val="auto"/>
              <w:sz w:val="24"/>
            </w:rPr>
            <w:instrText xml:space="preserve"> PAGEREF _Toc471905923 \h </w:instrText>
          </w:r>
          <w:r>
            <w:rPr>
              <w:color w:val="auto"/>
              <w:sz w:val="24"/>
            </w:rPr>
            <w:fldChar w:fldCharType="separate"/>
          </w:r>
          <w:r>
            <w:rPr>
              <w:color w:val="auto"/>
              <w:sz w:val="24"/>
            </w:rPr>
            <w:t>10</w:t>
          </w:r>
          <w:r>
            <w:rPr>
              <w:color w:val="auto"/>
              <w:sz w:val="24"/>
            </w:rPr>
            <w:fldChar w:fldCharType="end"/>
          </w:r>
          <w:r>
            <w:rPr>
              <w:color w:val="auto"/>
              <w:sz w:val="24"/>
            </w:rPr>
            <w:fldChar w:fldCharType="end"/>
          </w:r>
        </w:p>
        <w:p>
          <w:pPr>
            <w:pStyle w:val="12"/>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"_Toc471905924" </w:instrText>
          </w:r>
          <w:r>
            <w:rPr>
              <w:color w:val="auto"/>
            </w:rPr>
            <w:fldChar w:fldCharType="separate"/>
          </w:r>
          <w:r>
            <w:rPr>
              <w:rStyle w:val="18"/>
              <w:rFonts w:ascii="黑体" w:hAnsi="黑体"/>
              <w:color w:val="auto"/>
              <w:sz w:val="24"/>
              <w:szCs w:val="24"/>
            </w:rPr>
            <w:t>3.4.2</w:t>
          </w:r>
          <w:r>
            <w:rPr>
              <w:rStyle w:val="18"/>
              <w:rFonts w:hint="eastAsia" w:ascii="黑体" w:hAnsi="黑体"/>
              <w:color w:val="auto"/>
              <w:sz w:val="24"/>
              <w:szCs w:val="24"/>
            </w:rPr>
            <w:t>学生管理</w:t>
          </w:r>
          <w:r>
            <w:rPr>
              <w:color w:val="auto"/>
              <w:sz w:val="24"/>
            </w:rPr>
            <w:tab/>
          </w:r>
          <w:r>
            <w:rPr>
              <w:color w:val="auto"/>
              <w:sz w:val="24"/>
            </w:rPr>
            <w:fldChar w:fldCharType="begin"/>
          </w:r>
          <w:r>
            <w:rPr>
              <w:color w:val="auto"/>
              <w:sz w:val="24"/>
            </w:rPr>
            <w:instrText xml:space="preserve"> PAGEREF _Toc471905924 \h </w:instrText>
          </w:r>
          <w:r>
            <w:rPr>
              <w:color w:val="auto"/>
              <w:sz w:val="24"/>
            </w:rPr>
            <w:fldChar w:fldCharType="separate"/>
          </w:r>
          <w:r>
            <w:rPr>
              <w:color w:val="auto"/>
              <w:sz w:val="24"/>
            </w:rPr>
            <w:t>11</w:t>
          </w:r>
          <w:r>
            <w:rPr>
              <w:color w:val="auto"/>
              <w:sz w:val="24"/>
            </w:rPr>
            <w:fldChar w:fldCharType="end"/>
          </w:r>
          <w:r>
            <w:rPr>
              <w:color w:val="auto"/>
              <w:sz w:val="24"/>
            </w:rPr>
            <w:fldChar w:fldCharType="end"/>
          </w:r>
        </w:p>
        <w:p>
          <w:pPr>
            <w:pStyle w:val="12"/>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"_Toc471905926" </w:instrText>
          </w:r>
          <w:r>
            <w:rPr>
              <w:color w:val="auto"/>
            </w:rPr>
            <w:fldChar w:fldCharType="separate"/>
          </w:r>
          <w:r>
            <w:rPr>
              <w:rStyle w:val="18"/>
              <w:rFonts w:ascii="黑体" w:hAnsi="黑体"/>
              <w:color w:val="auto"/>
              <w:sz w:val="24"/>
              <w:szCs w:val="24"/>
            </w:rPr>
            <w:t>3.4.3</w:t>
          </w:r>
          <w:r>
            <w:rPr>
              <w:rStyle w:val="18"/>
              <w:rFonts w:hint="eastAsia" w:ascii="黑体" w:hAnsi="黑体"/>
              <w:color w:val="auto"/>
              <w:sz w:val="24"/>
              <w:szCs w:val="24"/>
            </w:rPr>
            <w:t>财务管理</w:t>
          </w:r>
          <w:r>
            <w:rPr>
              <w:color w:val="auto"/>
              <w:sz w:val="24"/>
            </w:rPr>
            <w:tab/>
          </w:r>
          <w:r>
            <w:rPr>
              <w:color w:val="auto"/>
              <w:sz w:val="24"/>
            </w:rPr>
            <w:fldChar w:fldCharType="begin"/>
          </w:r>
          <w:r>
            <w:rPr>
              <w:color w:val="auto"/>
              <w:sz w:val="24"/>
            </w:rPr>
            <w:instrText xml:space="preserve"> PAGEREF _Toc471905926 \h </w:instrText>
          </w:r>
          <w:r>
            <w:rPr>
              <w:color w:val="auto"/>
              <w:sz w:val="24"/>
            </w:rPr>
            <w:fldChar w:fldCharType="separate"/>
          </w:r>
          <w:r>
            <w:rPr>
              <w:color w:val="auto"/>
              <w:sz w:val="24"/>
            </w:rPr>
            <w:t>14</w:t>
          </w:r>
          <w:r>
            <w:rPr>
              <w:color w:val="auto"/>
              <w:sz w:val="24"/>
            </w:rPr>
            <w:fldChar w:fldCharType="end"/>
          </w:r>
          <w:r>
            <w:rPr>
              <w:color w:val="auto"/>
              <w:sz w:val="24"/>
            </w:rPr>
            <w:fldChar w:fldCharType="end"/>
          </w:r>
        </w:p>
        <w:p>
          <w:pPr>
            <w:pStyle w:val="12"/>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"_Toc471905927" </w:instrText>
          </w:r>
          <w:r>
            <w:rPr>
              <w:color w:val="auto"/>
            </w:rPr>
            <w:fldChar w:fldCharType="separate"/>
          </w:r>
          <w:r>
            <w:rPr>
              <w:rStyle w:val="18"/>
              <w:rFonts w:ascii="黑体" w:hAnsi="黑体"/>
              <w:color w:val="auto"/>
              <w:sz w:val="24"/>
              <w:szCs w:val="24"/>
            </w:rPr>
            <w:t>3.4.4</w:t>
          </w:r>
          <w:r>
            <w:rPr>
              <w:rStyle w:val="18"/>
              <w:rFonts w:hint="eastAsia" w:ascii="黑体" w:hAnsi="黑体"/>
              <w:color w:val="auto"/>
              <w:sz w:val="24"/>
              <w:szCs w:val="24"/>
            </w:rPr>
            <w:t>后勤管理</w:t>
          </w:r>
          <w:r>
            <w:rPr>
              <w:color w:val="auto"/>
              <w:sz w:val="24"/>
            </w:rPr>
            <w:tab/>
          </w:r>
          <w:r>
            <w:rPr>
              <w:color w:val="auto"/>
              <w:sz w:val="24"/>
            </w:rPr>
            <w:fldChar w:fldCharType="begin"/>
          </w:r>
          <w:r>
            <w:rPr>
              <w:color w:val="auto"/>
              <w:sz w:val="24"/>
            </w:rPr>
            <w:instrText xml:space="preserve"> PAGEREF _Toc471905927 \h </w:instrText>
          </w:r>
          <w:r>
            <w:rPr>
              <w:color w:val="auto"/>
              <w:sz w:val="24"/>
            </w:rPr>
            <w:fldChar w:fldCharType="separate"/>
          </w:r>
          <w:r>
            <w:rPr>
              <w:color w:val="auto"/>
              <w:sz w:val="24"/>
            </w:rPr>
            <w:t>14</w:t>
          </w:r>
          <w:r>
            <w:rPr>
              <w:color w:val="auto"/>
              <w:sz w:val="24"/>
            </w:rPr>
            <w:fldChar w:fldCharType="end"/>
          </w:r>
          <w:r>
            <w:rPr>
              <w:color w:val="auto"/>
              <w:sz w:val="24"/>
            </w:rPr>
            <w:fldChar w:fldCharType="end"/>
          </w:r>
        </w:p>
        <w:p>
          <w:pPr>
            <w:pStyle w:val="12"/>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"_Toc471905928" </w:instrText>
          </w:r>
          <w:r>
            <w:rPr>
              <w:color w:val="auto"/>
            </w:rPr>
            <w:fldChar w:fldCharType="separate"/>
          </w:r>
          <w:r>
            <w:rPr>
              <w:rStyle w:val="18"/>
              <w:rFonts w:ascii="黑体" w:hAnsi="黑体"/>
              <w:color w:val="auto"/>
              <w:sz w:val="24"/>
              <w:szCs w:val="24"/>
            </w:rPr>
            <w:t>3.4.5</w:t>
          </w:r>
          <w:r>
            <w:rPr>
              <w:rStyle w:val="18"/>
              <w:rFonts w:hint="eastAsia" w:ascii="黑体" w:hAnsi="黑体"/>
              <w:color w:val="auto"/>
              <w:sz w:val="24"/>
              <w:szCs w:val="24"/>
            </w:rPr>
            <w:t>安全管理</w:t>
          </w:r>
          <w:r>
            <w:rPr>
              <w:color w:val="auto"/>
              <w:sz w:val="24"/>
            </w:rPr>
            <w:tab/>
          </w:r>
          <w:r>
            <w:rPr>
              <w:color w:val="auto"/>
              <w:sz w:val="24"/>
            </w:rPr>
            <w:fldChar w:fldCharType="begin"/>
          </w:r>
          <w:r>
            <w:rPr>
              <w:color w:val="auto"/>
              <w:sz w:val="24"/>
            </w:rPr>
            <w:instrText xml:space="preserve"> PAGEREF _Toc471905928 \h </w:instrText>
          </w:r>
          <w:r>
            <w:rPr>
              <w:color w:val="auto"/>
              <w:sz w:val="24"/>
            </w:rPr>
            <w:fldChar w:fldCharType="separate"/>
          </w:r>
          <w:r>
            <w:rPr>
              <w:color w:val="auto"/>
              <w:sz w:val="24"/>
            </w:rPr>
            <w:t>15</w:t>
          </w:r>
          <w:r>
            <w:rPr>
              <w:color w:val="auto"/>
              <w:sz w:val="24"/>
            </w:rPr>
            <w:fldChar w:fldCharType="end"/>
          </w:r>
          <w:r>
            <w:rPr>
              <w:color w:val="auto"/>
              <w:sz w:val="24"/>
            </w:rPr>
            <w:fldChar w:fldCharType="end"/>
          </w:r>
        </w:p>
        <w:p>
          <w:pPr>
            <w:pStyle w:val="12"/>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"_Toc471905929" </w:instrText>
          </w:r>
          <w:r>
            <w:rPr>
              <w:color w:val="auto"/>
            </w:rPr>
            <w:fldChar w:fldCharType="separate"/>
          </w:r>
          <w:r>
            <w:rPr>
              <w:rStyle w:val="18"/>
              <w:rFonts w:ascii="黑体" w:hAnsi="黑体"/>
              <w:color w:val="auto"/>
              <w:sz w:val="24"/>
              <w:szCs w:val="24"/>
            </w:rPr>
            <w:t>3.4.6</w:t>
          </w:r>
          <w:r>
            <w:rPr>
              <w:rStyle w:val="18"/>
              <w:rFonts w:hint="eastAsia" w:ascii="黑体" w:hAnsi="黑体"/>
              <w:color w:val="auto"/>
              <w:sz w:val="24"/>
              <w:szCs w:val="24"/>
            </w:rPr>
            <w:t>科研管理</w:t>
          </w:r>
          <w:r>
            <w:rPr>
              <w:color w:val="auto"/>
              <w:sz w:val="24"/>
            </w:rPr>
            <w:tab/>
          </w:r>
          <w:r>
            <w:rPr>
              <w:color w:val="auto"/>
              <w:sz w:val="24"/>
            </w:rPr>
            <w:fldChar w:fldCharType="begin"/>
          </w:r>
          <w:r>
            <w:rPr>
              <w:color w:val="auto"/>
              <w:sz w:val="24"/>
            </w:rPr>
            <w:instrText xml:space="preserve"> PAGEREF _Toc471905929 \h </w:instrText>
          </w:r>
          <w:r>
            <w:rPr>
              <w:color w:val="auto"/>
              <w:sz w:val="24"/>
            </w:rPr>
            <w:fldChar w:fldCharType="separate"/>
          </w:r>
          <w:r>
            <w:rPr>
              <w:color w:val="auto"/>
              <w:sz w:val="24"/>
            </w:rPr>
            <w:t>15</w:t>
          </w:r>
          <w:r>
            <w:rPr>
              <w:color w:val="auto"/>
              <w:sz w:val="24"/>
            </w:rPr>
            <w:fldChar w:fldCharType="end"/>
          </w:r>
          <w:r>
            <w:rPr>
              <w:color w:val="auto"/>
              <w:sz w:val="24"/>
            </w:rPr>
            <w:fldChar w:fldCharType="end"/>
          </w:r>
        </w:p>
        <w:p>
          <w:pPr>
            <w:pStyle w:val="12"/>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"_Toc471905930" </w:instrText>
          </w:r>
          <w:r>
            <w:rPr>
              <w:color w:val="auto"/>
            </w:rPr>
            <w:fldChar w:fldCharType="separate"/>
          </w:r>
          <w:r>
            <w:rPr>
              <w:rStyle w:val="18"/>
              <w:rFonts w:ascii="黑体" w:hAnsi="黑体"/>
              <w:color w:val="auto"/>
              <w:sz w:val="24"/>
              <w:szCs w:val="24"/>
            </w:rPr>
            <w:t>3.4.7</w:t>
          </w:r>
          <w:r>
            <w:rPr>
              <w:rStyle w:val="18"/>
              <w:rFonts w:hint="eastAsia" w:ascii="黑体" w:hAnsi="黑体"/>
              <w:color w:val="auto"/>
              <w:sz w:val="24"/>
              <w:szCs w:val="24"/>
            </w:rPr>
            <w:t>管理队伍建设</w:t>
          </w:r>
          <w:r>
            <w:rPr>
              <w:color w:val="auto"/>
              <w:sz w:val="24"/>
            </w:rPr>
            <w:tab/>
          </w:r>
          <w:r>
            <w:rPr>
              <w:color w:val="auto"/>
              <w:sz w:val="24"/>
            </w:rPr>
            <w:fldChar w:fldCharType="begin"/>
          </w:r>
          <w:r>
            <w:rPr>
              <w:color w:val="auto"/>
              <w:sz w:val="24"/>
            </w:rPr>
            <w:instrText xml:space="preserve"> PAGEREF _Toc471905930 \h </w:instrText>
          </w:r>
          <w:r>
            <w:rPr>
              <w:color w:val="auto"/>
              <w:sz w:val="24"/>
            </w:rPr>
            <w:fldChar w:fldCharType="separate"/>
          </w:r>
          <w:r>
            <w:rPr>
              <w:color w:val="auto"/>
              <w:sz w:val="24"/>
            </w:rPr>
            <w:t>16</w:t>
          </w:r>
          <w:r>
            <w:rPr>
              <w:color w:val="auto"/>
              <w:sz w:val="24"/>
            </w:rPr>
            <w:fldChar w:fldCharType="end"/>
          </w:r>
          <w:r>
            <w:rPr>
              <w:color w:val="auto"/>
              <w:sz w:val="24"/>
            </w:rPr>
            <w:fldChar w:fldCharType="end"/>
          </w:r>
        </w:p>
        <w:p>
          <w:pPr>
            <w:pStyle w:val="12"/>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"_Toc471905931" </w:instrText>
          </w:r>
          <w:r>
            <w:rPr>
              <w:color w:val="auto"/>
            </w:rPr>
            <w:fldChar w:fldCharType="separate"/>
          </w:r>
          <w:r>
            <w:rPr>
              <w:rStyle w:val="18"/>
              <w:rFonts w:ascii="黑体" w:hAnsi="黑体"/>
              <w:color w:val="auto"/>
              <w:sz w:val="24"/>
              <w:szCs w:val="24"/>
            </w:rPr>
            <w:t>3.4.8</w:t>
          </w:r>
          <w:r>
            <w:rPr>
              <w:rStyle w:val="18"/>
              <w:rFonts w:hint="eastAsia" w:ascii="黑体" w:hAnsi="黑体"/>
              <w:color w:val="auto"/>
              <w:sz w:val="24"/>
              <w:szCs w:val="24"/>
            </w:rPr>
            <w:t>管理信息化水平</w:t>
          </w:r>
          <w:r>
            <w:rPr>
              <w:color w:val="auto"/>
              <w:sz w:val="24"/>
            </w:rPr>
            <w:tab/>
          </w:r>
          <w:r>
            <w:rPr>
              <w:color w:val="auto"/>
              <w:sz w:val="24"/>
            </w:rPr>
            <w:fldChar w:fldCharType="begin"/>
          </w:r>
          <w:r>
            <w:rPr>
              <w:color w:val="auto"/>
              <w:sz w:val="24"/>
            </w:rPr>
            <w:instrText xml:space="preserve"> PAGEREF _Toc471905931 \h </w:instrText>
          </w:r>
          <w:r>
            <w:rPr>
              <w:color w:val="auto"/>
              <w:sz w:val="24"/>
            </w:rPr>
            <w:fldChar w:fldCharType="separate"/>
          </w:r>
          <w:r>
            <w:rPr>
              <w:color w:val="auto"/>
              <w:sz w:val="24"/>
            </w:rPr>
            <w:t>16</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"_Toc471905932" </w:instrText>
          </w:r>
          <w:r>
            <w:rPr>
              <w:color w:val="auto"/>
            </w:rPr>
            <w:fldChar w:fldCharType="separate"/>
          </w:r>
          <w:r>
            <w:rPr>
              <w:rStyle w:val="18"/>
              <w:color w:val="auto"/>
              <w:sz w:val="24"/>
              <w:szCs w:val="24"/>
            </w:rPr>
            <w:t>3.5</w:t>
          </w:r>
          <w:r>
            <w:rPr>
              <w:rStyle w:val="18"/>
              <w:rFonts w:hint="eastAsia"/>
              <w:color w:val="auto"/>
              <w:sz w:val="24"/>
              <w:szCs w:val="24"/>
            </w:rPr>
            <w:t>德育工作</w:t>
          </w:r>
          <w:r>
            <w:rPr>
              <w:color w:val="auto"/>
              <w:sz w:val="24"/>
            </w:rPr>
            <w:tab/>
          </w:r>
          <w:r>
            <w:rPr>
              <w:color w:val="auto"/>
              <w:sz w:val="24"/>
            </w:rPr>
            <w:fldChar w:fldCharType="begin"/>
          </w:r>
          <w:r>
            <w:rPr>
              <w:color w:val="auto"/>
              <w:sz w:val="24"/>
            </w:rPr>
            <w:instrText xml:space="preserve"> PAGEREF _Toc471905932 \h </w:instrText>
          </w:r>
          <w:r>
            <w:rPr>
              <w:color w:val="auto"/>
              <w:sz w:val="24"/>
            </w:rPr>
            <w:fldChar w:fldCharType="separate"/>
          </w:r>
          <w:r>
            <w:rPr>
              <w:color w:val="auto"/>
              <w:sz w:val="24"/>
            </w:rPr>
            <w:t>17</w:t>
          </w:r>
          <w:r>
            <w:rPr>
              <w:color w:val="auto"/>
              <w:sz w:val="24"/>
            </w:rPr>
            <w:fldChar w:fldCharType="end"/>
          </w:r>
          <w:r>
            <w:rPr>
              <w:color w:val="auto"/>
              <w:sz w:val="24"/>
            </w:rPr>
            <w:fldChar w:fldCharType="end"/>
          </w:r>
        </w:p>
        <w:p>
          <w:pPr>
            <w:pStyle w:val="12"/>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"_Toc471905933" </w:instrText>
          </w:r>
          <w:r>
            <w:rPr>
              <w:color w:val="auto"/>
            </w:rPr>
            <w:fldChar w:fldCharType="separate"/>
          </w:r>
          <w:r>
            <w:rPr>
              <w:rStyle w:val="18"/>
              <w:rFonts w:ascii="黑体" w:hAnsi="黑体"/>
              <w:color w:val="auto"/>
              <w:sz w:val="24"/>
              <w:szCs w:val="24"/>
            </w:rPr>
            <w:t>3.5.1</w:t>
          </w:r>
          <w:r>
            <w:rPr>
              <w:rStyle w:val="18"/>
              <w:rFonts w:hint="eastAsia" w:ascii="黑体" w:hAnsi="黑体"/>
              <w:color w:val="auto"/>
              <w:sz w:val="24"/>
              <w:szCs w:val="24"/>
            </w:rPr>
            <w:t>德育课实施情况</w:t>
          </w:r>
          <w:r>
            <w:rPr>
              <w:color w:val="auto"/>
              <w:sz w:val="24"/>
            </w:rPr>
            <w:tab/>
          </w:r>
          <w:r>
            <w:rPr>
              <w:color w:val="auto"/>
              <w:sz w:val="24"/>
            </w:rPr>
            <w:fldChar w:fldCharType="begin"/>
          </w:r>
          <w:r>
            <w:rPr>
              <w:color w:val="auto"/>
              <w:sz w:val="24"/>
            </w:rPr>
            <w:instrText xml:space="preserve"> PAGEREF _Toc471905933 \h </w:instrText>
          </w:r>
          <w:r>
            <w:rPr>
              <w:color w:val="auto"/>
              <w:sz w:val="24"/>
            </w:rPr>
            <w:fldChar w:fldCharType="separate"/>
          </w:r>
          <w:r>
            <w:rPr>
              <w:color w:val="auto"/>
              <w:sz w:val="24"/>
            </w:rPr>
            <w:t>17</w:t>
          </w:r>
          <w:r>
            <w:rPr>
              <w:color w:val="auto"/>
              <w:sz w:val="24"/>
            </w:rPr>
            <w:fldChar w:fldCharType="end"/>
          </w:r>
          <w:r>
            <w:rPr>
              <w:color w:val="auto"/>
              <w:sz w:val="24"/>
            </w:rPr>
            <w:fldChar w:fldCharType="end"/>
          </w:r>
        </w:p>
        <w:p>
          <w:pPr>
            <w:pStyle w:val="12"/>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"_Toc471905935" </w:instrText>
          </w:r>
          <w:r>
            <w:rPr>
              <w:color w:val="auto"/>
            </w:rPr>
            <w:fldChar w:fldCharType="separate"/>
          </w:r>
          <w:r>
            <w:rPr>
              <w:rStyle w:val="18"/>
              <w:rFonts w:ascii="黑体" w:hAnsi="黑体"/>
              <w:color w:val="auto"/>
              <w:sz w:val="24"/>
              <w:szCs w:val="24"/>
            </w:rPr>
            <w:t>3.5.2</w:t>
          </w:r>
          <w:r>
            <w:rPr>
              <w:rStyle w:val="18"/>
              <w:rFonts w:hint="eastAsia" w:ascii="黑体" w:hAnsi="黑体"/>
              <w:color w:val="auto"/>
              <w:sz w:val="24"/>
              <w:szCs w:val="24"/>
            </w:rPr>
            <w:t>校园文化建设</w:t>
          </w:r>
          <w:r>
            <w:rPr>
              <w:color w:val="auto"/>
              <w:sz w:val="24"/>
            </w:rPr>
            <w:tab/>
          </w:r>
          <w:r>
            <w:rPr>
              <w:color w:val="auto"/>
              <w:sz w:val="24"/>
            </w:rPr>
            <w:fldChar w:fldCharType="begin"/>
          </w:r>
          <w:r>
            <w:rPr>
              <w:color w:val="auto"/>
              <w:sz w:val="24"/>
            </w:rPr>
            <w:instrText xml:space="preserve"> PAGEREF _Toc471905935 \h </w:instrText>
          </w:r>
          <w:r>
            <w:rPr>
              <w:color w:val="auto"/>
              <w:sz w:val="24"/>
            </w:rPr>
            <w:fldChar w:fldCharType="separate"/>
          </w:r>
          <w:r>
            <w:rPr>
              <w:color w:val="auto"/>
              <w:sz w:val="24"/>
            </w:rPr>
            <w:t>17</w:t>
          </w:r>
          <w:r>
            <w:rPr>
              <w:color w:val="auto"/>
              <w:sz w:val="24"/>
            </w:rPr>
            <w:fldChar w:fldCharType="end"/>
          </w:r>
          <w:r>
            <w:rPr>
              <w:color w:val="auto"/>
              <w:sz w:val="24"/>
            </w:rPr>
            <w:fldChar w:fldCharType="end"/>
          </w:r>
        </w:p>
        <w:p>
          <w:pPr>
            <w:pStyle w:val="12"/>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"_Toc471905939" </w:instrText>
          </w:r>
          <w:r>
            <w:rPr>
              <w:color w:val="auto"/>
            </w:rPr>
            <w:fldChar w:fldCharType="separate"/>
          </w:r>
          <w:r>
            <w:rPr>
              <w:rStyle w:val="18"/>
              <w:rFonts w:ascii="黑体" w:hAnsi="黑体"/>
              <w:color w:val="auto"/>
              <w:sz w:val="24"/>
              <w:szCs w:val="24"/>
            </w:rPr>
            <w:t>3.5.3“</w:t>
          </w:r>
          <w:r>
            <w:rPr>
              <w:rStyle w:val="18"/>
              <w:rFonts w:hint="eastAsia" w:ascii="黑体" w:hAnsi="黑体"/>
              <w:color w:val="auto"/>
              <w:sz w:val="24"/>
              <w:szCs w:val="24"/>
            </w:rPr>
            <w:t>文明风采</w:t>
          </w:r>
          <w:r>
            <w:rPr>
              <w:rStyle w:val="18"/>
              <w:rFonts w:ascii="黑体" w:hAnsi="黑体"/>
              <w:color w:val="auto"/>
              <w:sz w:val="24"/>
              <w:szCs w:val="24"/>
            </w:rPr>
            <w:t>”</w:t>
          </w:r>
          <w:r>
            <w:rPr>
              <w:rStyle w:val="18"/>
              <w:rFonts w:hint="eastAsia" w:ascii="黑体" w:hAnsi="黑体"/>
              <w:color w:val="auto"/>
              <w:sz w:val="24"/>
              <w:szCs w:val="24"/>
            </w:rPr>
            <w:t>活动开展情况</w:t>
          </w:r>
          <w:r>
            <w:rPr>
              <w:color w:val="auto"/>
              <w:sz w:val="24"/>
            </w:rPr>
            <w:tab/>
          </w:r>
          <w:r>
            <w:rPr>
              <w:color w:val="auto"/>
              <w:sz w:val="24"/>
            </w:rPr>
            <w:fldChar w:fldCharType="begin"/>
          </w:r>
          <w:r>
            <w:rPr>
              <w:color w:val="auto"/>
              <w:sz w:val="24"/>
            </w:rPr>
            <w:instrText xml:space="preserve"> PAGEREF _Toc471905939 \h </w:instrText>
          </w:r>
          <w:r>
            <w:rPr>
              <w:color w:val="auto"/>
              <w:sz w:val="24"/>
            </w:rPr>
            <w:fldChar w:fldCharType="separate"/>
          </w:r>
          <w:r>
            <w:rPr>
              <w:color w:val="auto"/>
              <w:sz w:val="24"/>
            </w:rPr>
            <w:t>18</w:t>
          </w:r>
          <w:r>
            <w:rPr>
              <w:color w:val="auto"/>
              <w:sz w:val="24"/>
            </w:rPr>
            <w:fldChar w:fldCharType="end"/>
          </w:r>
          <w:r>
            <w:rPr>
              <w:color w:val="auto"/>
              <w:sz w:val="24"/>
            </w:rPr>
            <w:fldChar w:fldCharType="end"/>
          </w:r>
        </w:p>
        <w:p>
          <w:pPr>
            <w:pStyle w:val="12"/>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"_Toc471905940" </w:instrText>
          </w:r>
          <w:r>
            <w:rPr>
              <w:color w:val="auto"/>
            </w:rPr>
            <w:fldChar w:fldCharType="separate"/>
          </w:r>
          <w:r>
            <w:rPr>
              <w:rStyle w:val="18"/>
              <w:rFonts w:ascii="黑体" w:hAnsi="黑体"/>
              <w:color w:val="auto"/>
              <w:sz w:val="24"/>
              <w:szCs w:val="24"/>
            </w:rPr>
            <w:t>3.5.4</w:t>
          </w:r>
          <w:r>
            <w:rPr>
              <w:rStyle w:val="18"/>
              <w:rFonts w:hint="eastAsia" w:ascii="黑体" w:hAnsi="黑体"/>
              <w:color w:val="auto"/>
              <w:sz w:val="24"/>
              <w:szCs w:val="24"/>
            </w:rPr>
            <w:t>社团活动</w:t>
          </w:r>
          <w:r>
            <w:rPr>
              <w:color w:val="auto"/>
              <w:sz w:val="24"/>
            </w:rPr>
            <w:tab/>
          </w:r>
          <w:r>
            <w:rPr>
              <w:rFonts w:hint="eastAsia"/>
              <w:color w:val="auto"/>
              <w:sz w:val="24"/>
              <w:lang w:val="en-US" w:eastAsia="zh-CN"/>
            </w:rPr>
            <w:t>1</w:t>
          </w:r>
          <w:r>
            <w:rPr>
              <w:color w:val="auto"/>
              <w:sz w:val="24"/>
            </w:rPr>
            <w:fldChar w:fldCharType="end"/>
          </w:r>
          <w:r>
            <w:rPr>
              <w:rFonts w:hint="eastAsia"/>
              <w:color w:val="auto"/>
              <w:sz w:val="24"/>
              <w:lang w:val="en-US" w:eastAsia="zh-CN"/>
            </w:rPr>
            <w:t>8</w:t>
          </w:r>
        </w:p>
        <w:p>
          <w:pPr>
            <w:pStyle w:val="12"/>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"_Toc471905941" </w:instrText>
          </w:r>
          <w:r>
            <w:rPr>
              <w:color w:val="auto"/>
            </w:rPr>
            <w:fldChar w:fldCharType="separate"/>
          </w:r>
          <w:r>
            <w:rPr>
              <w:rStyle w:val="18"/>
              <w:rFonts w:ascii="黑体" w:hAnsi="黑体"/>
              <w:color w:val="auto"/>
              <w:sz w:val="24"/>
              <w:szCs w:val="24"/>
            </w:rPr>
            <w:t>3.5.5</w:t>
          </w:r>
          <w:r>
            <w:rPr>
              <w:rStyle w:val="18"/>
              <w:rFonts w:hint="eastAsia" w:ascii="黑体" w:hAnsi="黑体"/>
              <w:color w:val="auto"/>
              <w:sz w:val="24"/>
              <w:szCs w:val="24"/>
            </w:rPr>
            <w:t>团组织、学生会建设及活动</w:t>
          </w:r>
          <w:r>
            <w:rPr>
              <w:color w:val="auto"/>
              <w:sz w:val="24"/>
            </w:rPr>
            <w:tab/>
          </w:r>
          <w:r>
            <w:rPr>
              <w:color w:val="auto"/>
              <w:sz w:val="24"/>
            </w:rPr>
            <w:fldChar w:fldCharType="begin"/>
          </w:r>
          <w:r>
            <w:rPr>
              <w:color w:val="auto"/>
              <w:sz w:val="24"/>
            </w:rPr>
            <w:instrText xml:space="preserve"> PAGEREF _Toc471905941 \h </w:instrText>
          </w:r>
          <w:r>
            <w:rPr>
              <w:color w:val="auto"/>
              <w:sz w:val="24"/>
            </w:rPr>
            <w:fldChar w:fldCharType="separate"/>
          </w:r>
          <w:r>
            <w:rPr>
              <w:color w:val="auto"/>
              <w:sz w:val="24"/>
            </w:rPr>
            <w:t>19</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"_Toc471905944" </w:instrText>
          </w:r>
          <w:r>
            <w:rPr>
              <w:color w:val="auto"/>
            </w:rPr>
            <w:fldChar w:fldCharType="separate"/>
          </w:r>
          <w:r>
            <w:rPr>
              <w:rStyle w:val="18"/>
              <w:color w:val="auto"/>
              <w:sz w:val="24"/>
              <w:szCs w:val="24"/>
            </w:rPr>
            <w:t>3.6</w:t>
          </w:r>
          <w:r>
            <w:rPr>
              <w:rStyle w:val="18"/>
              <w:rFonts w:hint="eastAsia"/>
              <w:color w:val="auto"/>
              <w:sz w:val="24"/>
              <w:szCs w:val="24"/>
            </w:rPr>
            <w:t>党建工作</w:t>
          </w:r>
          <w:r>
            <w:rPr>
              <w:color w:val="auto"/>
              <w:sz w:val="24"/>
            </w:rPr>
            <w:tab/>
          </w:r>
          <w:r>
            <w:rPr>
              <w:color w:val="auto"/>
              <w:sz w:val="24"/>
            </w:rPr>
            <w:fldChar w:fldCharType="begin"/>
          </w:r>
          <w:r>
            <w:rPr>
              <w:color w:val="auto"/>
              <w:sz w:val="24"/>
            </w:rPr>
            <w:instrText xml:space="preserve"> PAGEREF _Toc471905944 \h </w:instrText>
          </w:r>
          <w:r>
            <w:rPr>
              <w:color w:val="auto"/>
              <w:sz w:val="24"/>
            </w:rPr>
            <w:fldChar w:fldCharType="separate"/>
          </w:r>
          <w:r>
            <w:rPr>
              <w:color w:val="auto"/>
              <w:sz w:val="24"/>
            </w:rPr>
            <w:t>21</w:t>
          </w:r>
          <w:r>
            <w:rPr>
              <w:color w:val="auto"/>
              <w:sz w:val="24"/>
            </w:rPr>
            <w:fldChar w:fldCharType="end"/>
          </w:r>
          <w:r>
            <w:rPr>
              <w:color w:val="auto"/>
              <w:sz w:val="24"/>
            </w:rPr>
            <w:fldChar w:fldCharType="end"/>
          </w:r>
        </w:p>
        <w:p>
          <w:pPr>
            <w:pStyle w:val="11"/>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"_Toc471905945" </w:instrText>
          </w:r>
          <w:r>
            <w:rPr>
              <w:color w:val="auto"/>
            </w:rPr>
            <w:fldChar w:fldCharType="separate"/>
          </w:r>
          <w:r>
            <w:rPr>
              <w:rStyle w:val="18"/>
              <w:rFonts w:ascii="黑体" w:hAnsi="黑体" w:eastAsia="黑体" w:cs="黑体"/>
              <w:color w:val="auto"/>
              <w:sz w:val="24"/>
              <w:szCs w:val="24"/>
            </w:rPr>
            <w:t>4.</w:t>
          </w:r>
          <w:r>
            <w:rPr>
              <w:rStyle w:val="18"/>
              <w:rFonts w:hint="eastAsia" w:ascii="黑体" w:hAnsi="黑体" w:eastAsia="黑体" w:cs="黑体"/>
              <w:color w:val="auto"/>
              <w:sz w:val="24"/>
              <w:szCs w:val="24"/>
            </w:rPr>
            <w:t>校企合作</w:t>
          </w:r>
          <w:r>
            <w:rPr>
              <w:color w:val="auto"/>
              <w:sz w:val="24"/>
            </w:rPr>
            <w:tab/>
          </w:r>
          <w:r>
            <w:rPr>
              <w:color w:val="auto"/>
              <w:sz w:val="24"/>
            </w:rPr>
            <w:fldChar w:fldCharType="begin"/>
          </w:r>
          <w:r>
            <w:rPr>
              <w:color w:val="auto"/>
              <w:sz w:val="24"/>
            </w:rPr>
            <w:instrText xml:space="preserve"> PAGEREF _Toc471905945 \h </w:instrText>
          </w:r>
          <w:r>
            <w:rPr>
              <w:color w:val="auto"/>
              <w:sz w:val="24"/>
            </w:rPr>
            <w:fldChar w:fldCharType="separate"/>
          </w:r>
          <w:r>
            <w:rPr>
              <w:color w:val="auto"/>
              <w:sz w:val="24"/>
            </w:rPr>
            <w:t>2</w:t>
          </w:r>
          <w:r>
            <w:rPr>
              <w:rFonts w:hint="eastAsia"/>
              <w:color w:val="auto"/>
              <w:sz w:val="24"/>
              <w:lang w:val="en-US" w:eastAsia="zh-CN"/>
            </w:rPr>
            <w:t>5</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"_Toc471905946" </w:instrText>
          </w:r>
          <w:r>
            <w:rPr>
              <w:color w:val="auto"/>
            </w:rPr>
            <w:fldChar w:fldCharType="separate"/>
          </w:r>
          <w:r>
            <w:rPr>
              <w:rStyle w:val="18"/>
              <w:color w:val="auto"/>
              <w:sz w:val="24"/>
              <w:szCs w:val="24"/>
            </w:rPr>
            <w:t>4.1</w:t>
          </w:r>
          <w:r>
            <w:rPr>
              <w:rStyle w:val="18"/>
              <w:rFonts w:hint="eastAsia"/>
              <w:color w:val="auto"/>
              <w:sz w:val="24"/>
              <w:szCs w:val="24"/>
            </w:rPr>
            <w:t>校企合作开展情况和效果</w:t>
          </w:r>
          <w:r>
            <w:rPr>
              <w:color w:val="auto"/>
              <w:sz w:val="24"/>
            </w:rPr>
            <w:tab/>
          </w:r>
          <w:r>
            <w:rPr>
              <w:color w:val="auto"/>
              <w:sz w:val="24"/>
            </w:rPr>
            <w:fldChar w:fldCharType="begin"/>
          </w:r>
          <w:r>
            <w:rPr>
              <w:color w:val="auto"/>
              <w:sz w:val="24"/>
            </w:rPr>
            <w:instrText xml:space="preserve"> PAGEREF _Toc471905946 \h </w:instrText>
          </w:r>
          <w:r>
            <w:rPr>
              <w:color w:val="auto"/>
              <w:sz w:val="24"/>
            </w:rPr>
            <w:fldChar w:fldCharType="separate"/>
          </w:r>
          <w:r>
            <w:rPr>
              <w:color w:val="auto"/>
              <w:sz w:val="24"/>
            </w:rPr>
            <w:t>25</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"_Toc471905947" </w:instrText>
          </w:r>
          <w:r>
            <w:rPr>
              <w:color w:val="auto"/>
            </w:rPr>
            <w:fldChar w:fldCharType="separate"/>
          </w:r>
          <w:r>
            <w:rPr>
              <w:rStyle w:val="18"/>
              <w:color w:val="auto"/>
              <w:sz w:val="24"/>
              <w:szCs w:val="24"/>
            </w:rPr>
            <w:t>4.2</w:t>
          </w:r>
          <w:r>
            <w:rPr>
              <w:rStyle w:val="18"/>
              <w:rFonts w:hint="eastAsia"/>
              <w:color w:val="auto"/>
              <w:sz w:val="24"/>
              <w:szCs w:val="24"/>
            </w:rPr>
            <w:t>学生实习情况</w:t>
          </w:r>
          <w:r>
            <w:rPr>
              <w:color w:val="auto"/>
              <w:sz w:val="24"/>
            </w:rPr>
            <w:tab/>
          </w:r>
          <w:r>
            <w:rPr>
              <w:color w:val="auto"/>
              <w:sz w:val="24"/>
            </w:rPr>
            <w:fldChar w:fldCharType="begin"/>
          </w:r>
          <w:r>
            <w:rPr>
              <w:color w:val="auto"/>
              <w:sz w:val="24"/>
            </w:rPr>
            <w:instrText xml:space="preserve"> PAGEREF _Toc471905947 \h </w:instrText>
          </w:r>
          <w:r>
            <w:rPr>
              <w:color w:val="auto"/>
              <w:sz w:val="24"/>
            </w:rPr>
            <w:fldChar w:fldCharType="separate"/>
          </w:r>
          <w:r>
            <w:rPr>
              <w:color w:val="auto"/>
              <w:sz w:val="24"/>
            </w:rPr>
            <w:t>26</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"_Toc471905948" </w:instrText>
          </w:r>
          <w:r>
            <w:rPr>
              <w:color w:val="auto"/>
            </w:rPr>
            <w:fldChar w:fldCharType="separate"/>
          </w:r>
          <w:r>
            <w:rPr>
              <w:rStyle w:val="18"/>
              <w:color w:val="auto"/>
              <w:sz w:val="24"/>
              <w:szCs w:val="24"/>
            </w:rPr>
            <w:t>4.3</w:t>
          </w:r>
          <w:r>
            <w:rPr>
              <w:rStyle w:val="18"/>
              <w:rFonts w:hint="eastAsia"/>
              <w:color w:val="auto"/>
              <w:sz w:val="24"/>
              <w:szCs w:val="24"/>
            </w:rPr>
            <w:t>集团化办学情况</w:t>
          </w:r>
          <w:r>
            <w:rPr>
              <w:color w:val="auto"/>
              <w:sz w:val="24"/>
            </w:rPr>
            <w:tab/>
          </w:r>
          <w:r>
            <w:rPr>
              <w:color w:val="auto"/>
              <w:sz w:val="24"/>
            </w:rPr>
            <w:fldChar w:fldCharType="begin"/>
          </w:r>
          <w:r>
            <w:rPr>
              <w:color w:val="auto"/>
              <w:sz w:val="24"/>
            </w:rPr>
            <w:instrText xml:space="preserve"> PAGEREF _Toc471905948 \h </w:instrText>
          </w:r>
          <w:r>
            <w:rPr>
              <w:color w:val="auto"/>
              <w:sz w:val="24"/>
            </w:rPr>
            <w:fldChar w:fldCharType="separate"/>
          </w:r>
          <w:r>
            <w:rPr>
              <w:color w:val="auto"/>
              <w:sz w:val="24"/>
            </w:rPr>
            <w:t>26</w:t>
          </w:r>
          <w:r>
            <w:rPr>
              <w:color w:val="auto"/>
              <w:sz w:val="24"/>
            </w:rPr>
            <w:fldChar w:fldCharType="end"/>
          </w:r>
          <w:r>
            <w:rPr>
              <w:color w:val="auto"/>
              <w:sz w:val="24"/>
            </w:rPr>
            <w:fldChar w:fldCharType="end"/>
          </w:r>
        </w:p>
        <w:p>
          <w:pPr>
            <w:pStyle w:val="11"/>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"_Toc471905950" </w:instrText>
          </w:r>
          <w:r>
            <w:rPr>
              <w:color w:val="auto"/>
            </w:rPr>
            <w:fldChar w:fldCharType="separate"/>
          </w:r>
          <w:r>
            <w:rPr>
              <w:rStyle w:val="18"/>
              <w:rFonts w:ascii="黑体" w:hAnsi="黑体" w:eastAsia="黑体" w:cs="黑体"/>
              <w:color w:val="auto"/>
              <w:sz w:val="24"/>
              <w:szCs w:val="24"/>
            </w:rPr>
            <w:t>5.</w:t>
          </w:r>
          <w:r>
            <w:rPr>
              <w:rStyle w:val="18"/>
              <w:rFonts w:hint="eastAsia" w:ascii="黑体" w:hAnsi="黑体" w:eastAsia="黑体" w:cs="黑体"/>
              <w:color w:val="auto"/>
              <w:sz w:val="24"/>
              <w:szCs w:val="24"/>
            </w:rPr>
            <w:t>社会贡献</w:t>
          </w:r>
          <w:r>
            <w:rPr>
              <w:color w:val="auto"/>
              <w:sz w:val="24"/>
            </w:rPr>
            <w:tab/>
          </w:r>
          <w:r>
            <w:rPr>
              <w:color w:val="auto"/>
              <w:sz w:val="24"/>
            </w:rPr>
            <w:fldChar w:fldCharType="begin"/>
          </w:r>
          <w:r>
            <w:rPr>
              <w:color w:val="auto"/>
              <w:sz w:val="24"/>
            </w:rPr>
            <w:instrText xml:space="preserve"> PAGEREF _Toc471905950 \h </w:instrText>
          </w:r>
          <w:r>
            <w:rPr>
              <w:color w:val="auto"/>
              <w:sz w:val="24"/>
            </w:rPr>
            <w:fldChar w:fldCharType="separate"/>
          </w:r>
          <w:r>
            <w:rPr>
              <w:color w:val="auto"/>
              <w:sz w:val="24"/>
            </w:rPr>
            <w:t>26</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"_Toc471905951" </w:instrText>
          </w:r>
          <w:r>
            <w:rPr>
              <w:color w:val="auto"/>
            </w:rPr>
            <w:fldChar w:fldCharType="separate"/>
          </w:r>
          <w:r>
            <w:rPr>
              <w:rStyle w:val="18"/>
              <w:color w:val="auto"/>
              <w:sz w:val="24"/>
              <w:szCs w:val="24"/>
            </w:rPr>
            <w:t>5.1</w:t>
          </w:r>
          <w:r>
            <w:rPr>
              <w:rStyle w:val="18"/>
              <w:rFonts w:hint="eastAsia"/>
              <w:color w:val="auto"/>
              <w:sz w:val="24"/>
              <w:szCs w:val="24"/>
            </w:rPr>
            <w:t>技术技能人才培养</w:t>
          </w:r>
          <w:r>
            <w:rPr>
              <w:color w:val="auto"/>
              <w:sz w:val="24"/>
            </w:rPr>
            <w:tab/>
          </w:r>
          <w:r>
            <w:rPr>
              <w:color w:val="auto"/>
              <w:sz w:val="24"/>
            </w:rPr>
            <w:fldChar w:fldCharType="begin"/>
          </w:r>
          <w:r>
            <w:rPr>
              <w:color w:val="auto"/>
              <w:sz w:val="24"/>
            </w:rPr>
            <w:instrText xml:space="preserve"> PAGEREF _Toc471905951 \h </w:instrText>
          </w:r>
          <w:r>
            <w:rPr>
              <w:color w:val="auto"/>
              <w:sz w:val="24"/>
            </w:rPr>
            <w:fldChar w:fldCharType="separate"/>
          </w:r>
          <w:r>
            <w:rPr>
              <w:color w:val="auto"/>
              <w:sz w:val="24"/>
            </w:rPr>
            <w:t>26</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"_Toc471905952" </w:instrText>
          </w:r>
          <w:r>
            <w:rPr>
              <w:color w:val="auto"/>
            </w:rPr>
            <w:fldChar w:fldCharType="separate"/>
          </w:r>
          <w:r>
            <w:rPr>
              <w:rStyle w:val="18"/>
              <w:color w:val="auto"/>
              <w:sz w:val="24"/>
              <w:szCs w:val="24"/>
            </w:rPr>
            <w:t>5.2</w:t>
          </w:r>
          <w:r>
            <w:rPr>
              <w:rStyle w:val="18"/>
              <w:rFonts w:hint="eastAsia"/>
              <w:color w:val="auto"/>
              <w:sz w:val="24"/>
              <w:szCs w:val="24"/>
            </w:rPr>
            <w:t>社会服务</w:t>
          </w:r>
          <w:r>
            <w:rPr>
              <w:color w:val="auto"/>
              <w:sz w:val="24"/>
            </w:rPr>
            <w:tab/>
          </w:r>
          <w:r>
            <w:rPr>
              <w:color w:val="auto"/>
              <w:sz w:val="24"/>
            </w:rPr>
            <w:fldChar w:fldCharType="begin"/>
          </w:r>
          <w:r>
            <w:rPr>
              <w:color w:val="auto"/>
              <w:sz w:val="24"/>
            </w:rPr>
            <w:instrText xml:space="preserve"> PAGEREF _Toc471905952 \h </w:instrText>
          </w:r>
          <w:r>
            <w:rPr>
              <w:color w:val="auto"/>
              <w:sz w:val="24"/>
            </w:rPr>
            <w:fldChar w:fldCharType="separate"/>
          </w:r>
          <w:r>
            <w:rPr>
              <w:color w:val="auto"/>
              <w:sz w:val="24"/>
            </w:rPr>
            <w:t>2</w:t>
          </w:r>
          <w:r>
            <w:rPr>
              <w:rFonts w:hint="eastAsia"/>
              <w:color w:val="auto"/>
              <w:sz w:val="24"/>
              <w:lang w:val="en-US" w:eastAsia="zh-CN"/>
            </w:rPr>
            <w:t>7</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"_Toc471905954" </w:instrText>
          </w:r>
          <w:r>
            <w:rPr>
              <w:color w:val="auto"/>
            </w:rPr>
            <w:fldChar w:fldCharType="separate"/>
          </w:r>
          <w:r>
            <w:rPr>
              <w:rStyle w:val="18"/>
              <w:color w:val="auto"/>
              <w:sz w:val="24"/>
              <w:szCs w:val="24"/>
            </w:rPr>
            <w:t>5.3</w:t>
          </w:r>
          <w:r>
            <w:rPr>
              <w:rStyle w:val="18"/>
              <w:rFonts w:hint="eastAsia"/>
              <w:color w:val="auto"/>
              <w:sz w:val="24"/>
              <w:szCs w:val="24"/>
            </w:rPr>
            <w:t>对口支援</w:t>
          </w:r>
          <w:r>
            <w:rPr>
              <w:color w:val="auto"/>
              <w:sz w:val="24"/>
            </w:rPr>
            <w:tab/>
          </w:r>
          <w:r>
            <w:rPr>
              <w:color w:val="auto"/>
              <w:sz w:val="24"/>
            </w:rPr>
            <w:fldChar w:fldCharType="begin"/>
          </w:r>
          <w:r>
            <w:rPr>
              <w:color w:val="auto"/>
              <w:sz w:val="24"/>
            </w:rPr>
            <w:instrText xml:space="preserve"> PAGEREF _Toc471905954 \h </w:instrText>
          </w:r>
          <w:r>
            <w:rPr>
              <w:color w:val="auto"/>
              <w:sz w:val="24"/>
            </w:rPr>
            <w:fldChar w:fldCharType="separate"/>
          </w:r>
          <w:r>
            <w:rPr>
              <w:color w:val="auto"/>
              <w:sz w:val="24"/>
            </w:rPr>
            <w:t>27</w:t>
          </w:r>
          <w:r>
            <w:rPr>
              <w:color w:val="auto"/>
              <w:sz w:val="24"/>
            </w:rPr>
            <w:fldChar w:fldCharType="end"/>
          </w:r>
          <w:r>
            <w:rPr>
              <w:color w:val="auto"/>
              <w:sz w:val="24"/>
            </w:rPr>
            <w:fldChar w:fldCharType="end"/>
          </w:r>
        </w:p>
        <w:p>
          <w:pPr>
            <w:pStyle w:val="11"/>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"_Toc471905956" </w:instrText>
          </w:r>
          <w:r>
            <w:rPr>
              <w:color w:val="auto"/>
            </w:rPr>
            <w:fldChar w:fldCharType="separate"/>
          </w:r>
          <w:r>
            <w:rPr>
              <w:rStyle w:val="18"/>
              <w:rFonts w:ascii="黑体" w:hAnsi="黑体" w:eastAsia="黑体" w:cs="黑体"/>
              <w:color w:val="auto"/>
              <w:sz w:val="24"/>
              <w:szCs w:val="24"/>
            </w:rPr>
            <w:t>6.</w:t>
          </w:r>
          <w:r>
            <w:rPr>
              <w:rStyle w:val="18"/>
              <w:rFonts w:hint="eastAsia" w:ascii="黑体" w:hAnsi="黑体" w:eastAsia="黑体" w:cs="黑体"/>
              <w:color w:val="auto"/>
              <w:sz w:val="24"/>
              <w:szCs w:val="24"/>
            </w:rPr>
            <w:t>举办者履责</w:t>
          </w:r>
          <w:r>
            <w:rPr>
              <w:color w:val="auto"/>
              <w:sz w:val="24"/>
            </w:rPr>
            <w:tab/>
          </w:r>
          <w:r>
            <w:rPr>
              <w:color w:val="auto"/>
              <w:sz w:val="24"/>
            </w:rPr>
            <w:fldChar w:fldCharType="begin"/>
          </w:r>
          <w:r>
            <w:rPr>
              <w:color w:val="auto"/>
              <w:sz w:val="24"/>
            </w:rPr>
            <w:instrText xml:space="preserve"> PAGEREF _Toc471905956 \h </w:instrText>
          </w:r>
          <w:r>
            <w:rPr>
              <w:color w:val="auto"/>
              <w:sz w:val="24"/>
            </w:rPr>
            <w:fldChar w:fldCharType="separate"/>
          </w:r>
          <w:r>
            <w:rPr>
              <w:color w:val="auto"/>
              <w:sz w:val="24"/>
            </w:rPr>
            <w:t>27</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"_Toc471905957" </w:instrText>
          </w:r>
          <w:r>
            <w:rPr>
              <w:color w:val="auto"/>
            </w:rPr>
            <w:fldChar w:fldCharType="separate"/>
          </w:r>
          <w:r>
            <w:rPr>
              <w:rStyle w:val="18"/>
              <w:color w:val="auto"/>
              <w:sz w:val="24"/>
              <w:szCs w:val="24"/>
            </w:rPr>
            <w:t>6.1</w:t>
          </w:r>
          <w:r>
            <w:rPr>
              <w:rStyle w:val="18"/>
              <w:rFonts w:hint="eastAsia"/>
              <w:color w:val="auto"/>
              <w:sz w:val="24"/>
              <w:szCs w:val="24"/>
            </w:rPr>
            <w:t>经费</w:t>
          </w:r>
          <w:r>
            <w:rPr>
              <w:color w:val="auto"/>
              <w:sz w:val="24"/>
            </w:rPr>
            <w:tab/>
          </w:r>
          <w:r>
            <w:rPr>
              <w:color w:val="auto"/>
              <w:sz w:val="24"/>
            </w:rPr>
            <w:fldChar w:fldCharType="begin"/>
          </w:r>
          <w:r>
            <w:rPr>
              <w:color w:val="auto"/>
              <w:sz w:val="24"/>
            </w:rPr>
            <w:instrText xml:space="preserve"> PAGEREF _Toc471905957 \h </w:instrText>
          </w:r>
          <w:r>
            <w:rPr>
              <w:color w:val="auto"/>
              <w:sz w:val="24"/>
            </w:rPr>
            <w:fldChar w:fldCharType="separate"/>
          </w:r>
          <w:r>
            <w:rPr>
              <w:color w:val="auto"/>
              <w:sz w:val="24"/>
            </w:rPr>
            <w:t>27</w:t>
          </w:r>
          <w:r>
            <w:rPr>
              <w:color w:val="auto"/>
              <w:sz w:val="24"/>
            </w:rPr>
            <w:fldChar w:fldCharType="end"/>
          </w:r>
          <w:r>
            <w:rPr>
              <w:color w:val="auto"/>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"_Toc471905959" </w:instrText>
          </w:r>
          <w:r>
            <w:rPr>
              <w:color w:val="auto"/>
            </w:rPr>
            <w:fldChar w:fldCharType="separate"/>
          </w:r>
          <w:r>
            <w:rPr>
              <w:rStyle w:val="18"/>
              <w:color w:val="auto"/>
              <w:sz w:val="24"/>
              <w:szCs w:val="24"/>
            </w:rPr>
            <w:t>6.2</w:t>
          </w:r>
          <w:r>
            <w:rPr>
              <w:rStyle w:val="18"/>
              <w:rFonts w:hint="eastAsia"/>
              <w:color w:val="auto"/>
              <w:sz w:val="24"/>
              <w:szCs w:val="24"/>
            </w:rPr>
            <w:t>政策措施</w:t>
          </w:r>
          <w:r>
            <w:rPr>
              <w:color w:val="auto"/>
              <w:sz w:val="24"/>
            </w:rPr>
            <w:tab/>
          </w:r>
          <w:r>
            <w:rPr>
              <w:color w:val="auto"/>
              <w:sz w:val="24"/>
            </w:rPr>
            <w:fldChar w:fldCharType="begin"/>
          </w:r>
          <w:r>
            <w:rPr>
              <w:color w:val="auto"/>
              <w:sz w:val="24"/>
            </w:rPr>
            <w:instrText xml:space="preserve"> PAGEREF _Toc471905959 \h </w:instrText>
          </w:r>
          <w:r>
            <w:rPr>
              <w:color w:val="auto"/>
              <w:sz w:val="24"/>
            </w:rPr>
            <w:fldChar w:fldCharType="separate"/>
          </w:r>
          <w:r>
            <w:rPr>
              <w:color w:val="auto"/>
              <w:sz w:val="24"/>
            </w:rPr>
            <w:t>28</w:t>
          </w:r>
          <w:r>
            <w:rPr>
              <w:color w:val="auto"/>
              <w:sz w:val="24"/>
            </w:rPr>
            <w:fldChar w:fldCharType="end"/>
          </w:r>
          <w:r>
            <w:rPr>
              <w:color w:val="auto"/>
              <w:sz w:val="24"/>
            </w:rPr>
            <w:fldChar w:fldCharType="end"/>
          </w:r>
        </w:p>
        <w:p>
          <w:pPr>
            <w:pStyle w:val="11"/>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"_Toc471905961" </w:instrText>
          </w:r>
          <w:r>
            <w:rPr>
              <w:color w:val="auto"/>
            </w:rPr>
            <w:fldChar w:fldCharType="separate"/>
          </w:r>
          <w:r>
            <w:rPr>
              <w:rStyle w:val="18"/>
              <w:rFonts w:ascii="黑体" w:hAnsi="黑体" w:eastAsia="黑体" w:cs="黑体"/>
              <w:color w:val="auto"/>
              <w:sz w:val="24"/>
              <w:szCs w:val="24"/>
            </w:rPr>
            <w:t>7.</w:t>
          </w:r>
          <w:r>
            <w:rPr>
              <w:rStyle w:val="18"/>
              <w:rFonts w:hint="eastAsia" w:ascii="黑体" w:hAnsi="黑体" w:eastAsia="黑体" w:cs="黑体"/>
              <w:color w:val="auto"/>
              <w:sz w:val="24"/>
              <w:szCs w:val="24"/>
            </w:rPr>
            <w:t>特色创新</w:t>
          </w:r>
          <w:r>
            <w:rPr>
              <w:color w:val="auto"/>
              <w:sz w:val="24"/>
            </w:rPr>
            <w:tab/>
          </w:r>
          <w:r>
            <w:rPr>
              <w:color w:val="auto"/>
              <w:sz w:val="24"/>
            </w:rPr>
            <w:fldChar w:fldCharType="begin"/>
          </w:r>
          <w:r>
            <w:rPr>
              <w:color w:val="auto"/>
              <w:sz w:val="24"/>
            </w:rPr>
            <w:instrText xml:space="preserve"> PAGEREF _Toc471905961 \h </w:instrText>
          </w:r>
          <w:r>
            <w:rPr>
              <w:color w:val="auto"/>
              <w:sz w:val="24"/>
            </w:rPr>
            <w:fldChar w:fldCharType="separate"/>
          </w:r>
          <w:r>
            <w:rPr>
              <w:color w:val="auto"/>
              <w:sz w:val="24"/>
            </w:rPr>
            <w:t>28</w:t>
          </w:r>
          <w:r>
            <w:rPr>
              <w:color w:val="auto"/>
              <w:sz w:val="24"/>
            </w:rPr>
            <w:fldChar w:fldCharType="end"/>
          </w:r>
          <w:r>
            <w:rPr>
              <w:color w:val="auto"/>
              <w:sz w:val="24"/>
            </w:rPr>
            <w:fldChar w:fldCharType="end"/>
          </w:r>
        </w:p>
        <w:p>
          <w:pPr>
            <w:pStyle w:val="11"/>
            <w:tabs>
              <w:tab w:val="right" w:leader="dot" w:pos="9736"/>
            </w:tabs>
            <w:spacing w:line="360" w:lineRule="auto"/>
            <w:rPr>
              <w:rFonts w:asciiTheme="minorHAnsi" w:hAnsiTheme="minorHAnsi" w:eastAsiaTheme="minorEastAsia" w:cstheme="minorBidi"/>
              <w:color w:val="auto"/>
              <w:sz w:val="24"/>
            </w:rPr>
          </w:pPr>
          <w:r>
            <w:rPr>
              <w:color w:val="auto"/>
            </w:rPr>
            <w:fldChar w:fldCharType="begin"/>
          </w:r>
          <w:r>
            <w:rPr>
              <w:color w:val="auto"/>
            </w:rPr>
            <w:instrText xml:space="preserve"> HYPERLINK \l "_Toc471905964" </w:instrText>
          </w:r>
          <w:r>
            <w:rPr>
              <w:color w:val="auto"/>
            </w:rPr>
            <w:fldChar w:fldCharType="separate"/>
          </w:r>
          <w:r>
            <w:rPr>
              <w:rStyle w:val="18"/>
              <w:rFonts w:ascii="黑体" w:hAnsi="黑体" w:eastAsia="黑体" w:cs="黑体"/>
              <w:color w:val="auto"/>
              <w:sz w:val="24"/>
              <w:szCs w:val="24"/>
            </w:rPr>
            <w:t>8.</w:t>
          </w:r>
          <w:r>
            <w:rPr>
              <w:rStyle w:val="18"/>
              <w:rFonts w:hint="eastAsia" w:ascii="黑体" w:hAnsi="黑体" w:eastAsia="黑体" w:cs="黑体"/>
              <w:color w:val="auto"/>
              <w:sz w:val="24"/>
              <w:szCs w:val="24"/>
            </w:rPr>
            <w:t>主要问题和改进措施</w:t>
          </w:r>
          <w:r>
            <w:rPr>
              <w:color w:val="auto"/>
              <w:sz w:val="24"/>
            </w:rPr>
            <w:tab/>
          </w:r>
          <w:r>
            <w:rPr>
              <w:color w:val="auto"/>
              <w:sz w:val="24"/>
            </w:rPr>
            <w:fldChar w:fldCharType="begin"/>
          </w:r>
          <w:r>
            <w:rPr>
              <w:color w:val="auto"/>
              <w:sz w:val="24"/>
            </w:rPr>
            <w:instrText xml:space="preserve"> PAGEREF _Toc471905964 \h </w:instrText>
          </w:r>
          <w:r>
            <w:rPr>
              <w:color w:val="auto"/>
              <w:sz w:val="24"/>
            </w:rPr>
            <w:fldChar w:fldCharType="separate"/>
          </w:r>
          <w:r>
            <w:rPr>
              <w:color w:val="auto"/>
              <w:sz w:val="24"/>
            </w:rPr>
            <w:t>28</w:t>
          </w:r>
          <w:r>
            <w:rPr>
              <w:color w:val="auto"/>
              <w:sz w:val="24"/>
            </w:rPr>
            <w:fldChar w:fldCharType="end"/>
          </w:r>
          <w:r>
            <w:rPr>
              <w:color w:val="auto"/>
              <w:sz w:val="24"/>
            </w:rPr>
            <w:fldChar w:fldCharType="end"/>
          </w:r>
        </w:p>
        <w:p>
          <w:pPr>
            <w:pStyle w:val="6"/>
            <w:ind w:left="0" w:leftChars="0" w:firstLine="211" w:firstLineChars="100"/>
            <w:rPr>
              <w:rFonts w:asciiTheme="minorHAnsi" w:hAnsiTheme="minorHAnsi" w:eastAsiaTheme="minorEastAsia" w:cstheme="minorBidi"/>
              <w:color w:val="auto"/>
              <w:sz w:val="24"/>
            </w:rPr>
          </w:pPr>
          <w:r>
            <w:rPr>
              <w:b/>
              <w:bCs/>
              <w:color w:val="auto"/>
              <w:lang w:val="zh-CN"/>
            </w:rPr>
            <w:fldChar w:fldCharType="end"/>
          </w:r>
          <w:r>
            <w:rPr>
              <w:rStyle w:val="18"/>
              <w:rFonts w:hint="eastAsia" w:ascii="黑体" w:hAnsi="黑体" w:eastAsia="黑体"/>
              <w:color w:val="auto"/>
              <w:sz w:val="24"/>
              <w:szCs w:val="24"/>
            </w:rPr>
            <w:t>附件1：</w:t>
          </w:r>
          <w:r>
            <w:rPr>
              <w:rStyle w:val="18"/>
              <w:rFonts w:hint="eastAsia"/>
              <w:color w:val="auto"/>
              <w:sz w:val="24"/>
              <w:szCs w:val="24"/>
            </w:rPr>
            <w:t>典型</w:t>
          </w:r>
          <w:r>
            <w:rPr>
              <w:color w:val="auto"/>
            </w:rPr>
            <w:fldChar w:fldCharType="begin"/>
          </w:r>
          <w:r>
            <w:rPr>
              <w:color w:val="auto"/>
            </w:rPr>
            <w:instrText xml:space="preserve"> HYPERLINK \l "_Toc471905962" </w:instrText>
          </w:r>
          <w:r>
            <w:rPr>
              <w:color w:val="auto"/>
            </w:rPr>
            <w:fldChar w:fldCharType="separate"/>
          </w:r>
          <w:r>
            <w:rPr>
              <w:rStyle w:val="18"/>
              <w:rFonts w:hint="eastAsia" w:cs="宋体" w:asciiTheme="minorEastAsia" w:hAnsiTheme="minorEastAsia"/>
              <w:color w:val="auto"/>
              <w:kern w:val="0"/>
              <w:sz w:val="24"/>
              <w:szCs w:val="24"/>
            </w:rPr>
            <w:t>案例一：发挥专业优势，助力养老事业转型升级</w:t>
          </w:r>
          <w:r>
            <w:rPr>
              <w:color w:val="auto"/>
              <w:sz w:val="24"/>
            </w:rPr>
            <w:tab/>
          </w:r>
          <w:r>
            <w:rPr>
              <w:rFonts w:hint="eastAsia"/>
              <w:color w:val="auto"/>
              <w:sz w:val="24"/>
              <w:lang w:val="en-US" w:eastAsia="zh-CN"/>
            </w:rPr>
            <w:t>2</w:t>
          </w:r>
          <w:r>
            <w:rPr>
              <w:rFonts w:hint="eastAsia"/>
              <w:color w:val="auto"/>
              <w:sz w:val="24"/>
            </w:rPr>
            <w:fldChar w:fldCharType="end"/>
          </w:r>
          <w:r>
            <w:rPr>
              <w:rFonts w:hint="eastAsia"/>
              <w:color w:val="auto"/>
              <w:sz w:val="24"/>
              <w:lang w:val="en-US" w:eastAsia="zh-CN"/>
            </w:rPr>
            <w:t>9</w:t>
          </w:r>
        </w:p>
        <w:p>
          <w:pPr>
            <w:pStyle w:val="6"/>
            <w:ind w:left="0" w:leftChars="0" w:firstLine="240" w:firstLineChars="100"/>
            <w:rPr>
              <w:rFonts w:asciiTheme="minorHAnsi" w:hAnsiTheme="minorHAnsi" w:eastAsiaTheme="minorEastAsia" w:cstheme="minorBidi"/>
              <w:color w:val="auto"/>
              <w:sz w:val="24"/>
            </w:rPr>
          </w:pPr>
          <w:r>
            <w:rPr>
              <w:rStyle w:val="18"/>
              <w:rFonts w:hint="eastAsia" w:ascii="黑体" w:hAnsi="黑体" w:eastAsia="黑体"/>
              <w:color w:val="auto"/>
              <w:sz w:val="24"/>
              <w:szCs w:val="24"/>
            </w:rPr>
            <w:t>附件2：</w:t>
          </w:r>
          <w:r>
            <w:rPr>
              <w:rStyle w:val="18"/>
              <w:rFonts w:hint="eastAsia"/>
              <w:color w:val="auto"/>
              <w:sz w:val="24"/>
              <w:szCs w:val="24"/>
            </w:rPr>
            <w:t>典型</w:t>
          </w:r>
          <w:r>
            <w:rPr>
              <w:color w:val="auto"/>
            </w:rPr>
            <w:fldChar w:fldCharType="begin"/>
          </w:r>
          <w:r>
            <w:rPr>
              <w:color w:val="auto"/>
            </w:rPr>
            <w:instrText xml:space="preserve"> HYPERLINK \l "_Toc471905963" </w:instrText>
          </w:r>
          <w:r>
            <w:rPr>
              <w:color w:val="auto"/>
            </w:rPr>
            <w:fldChar w:fldCharType="separate"/>
          </w:r>
          <w:r>
            <w:rPr>
              <w:rStyle w:val="18"/>
              <w:rFonts w:hint="eastAsia" w:cs="宋体" w:asciiTheme="minorEastAsia" w:hAnsiTheme="minorEastAsia"/>
              <w:color w:val="auto"/>
              <w:kern w:val="0"/>
              <w:sz w:val="24"/>
              <w:szCs w:val="24"/>
            </w:rPr>
            <w:t>案例二：中职卫生学校复合型专业教师队伍建设的创新实践</w:t>
          </w:r>
          <w:r>
            <w:rPr>
              <w:color w:val="auto"/>
              <w:sz w:val="24"/>
            </w:rPr>
            <w:tab/>
          </w:r>
          <w:r>
            <w:rPr>
              <w:rFonts w:hint="eastAsia"/>
              <w:color w:val="auto"/>
              <w:sz w:val="24"/>
            </w:rPr>
            <w:t>35</w:t>
          </w:r>
          <w:r>
            <w:rPr>
              <w:rFonts w:hint="eastAsia"/>
              <w:color w:val="auto"/>
              <w:sz w:val="24"/>
            </w:rPr>
            <w:fldChar w:fldCharType="end"/>
          </w:r>
        </w:p>
      </w:sdtContent>
    </w:sdt>
    <w:p>
      <w:pPr>
        <w:adjustRightInd w:val="0"/>
        <w:spacing w:before="156" w:beforeLines="50" w:line="360" w:lineRule="auto"/>
        <w:jc w:val="center"/>
        <w:rPr>
          <w:rFonts w:ascii="黑体" w:hAnsi="黑体" w:eastAsia="黑体" w:cs="黑体"/>
          <w:b/>
          <w:bCs/>
          <w:color w:val="auto"/>
          <w:w w:val="80"/>
          <w:sz w:val="40"/>
          <w:szCs w:val="48"/>
        </w:rPr>
      </w:pPr>
    </w:p>
    <w:p>
      <w:pPr>
        <w:adjustRightInd w:val="0"/>
        <w:spacing w:before="156" w:beforeLines="50" w:line="360" w:lineRule="auto"/>
        <w:jc w:val="center"/>
        <w:rPr>
          <w:rFonts w:ascii="黑体" w:hAnsi="黑体" w:eastAsia="黑体" w:cs="黑体"/>
          <w:b/>
          <w:bCs/>
          <w:color w:val="auto"/>
          <w:w w:val="80"/>
          <w:sz w:val="40"/>
          <w:szCs w:val="48"/>
        </w:rPr>
      </w:pPr>
    </w:p>
    <w:p>
      <w:pPr>
        <w:adjustRightInd w:val="0"/>
        <w:spacing w:before="156" w:beforeLines="50" w:line="360" w:lineRule="auto"/>
        <w:jc w:val="center"/>
        <w:rPr>
          <w:rFonts w:ascii="黑体" w:hAnsi="黑体" w:eastAsia="黑体" w:cs="黑体"/>
          <w:b/>
          <w:bCs/>
          <w:color w:val="auto"/>
          <w:w w:val="80"/>
          <w:sz w:val="40"/>
          <w:szCs w:val="48"/>
        </w:rPr>
      </w:pPr>
    </w:p>
    <w:p>
      <w:pPr>
        <w:adjustRightInd w:val="0"/>
        <w:spacing w:before="156" w:beforeLines="50" w:line="360" w:lineRule="auto"/>
        <w:jc w:val="center"/>
        <w:rPr>
          <w:rFonts w:ascii="黑体" w:hAnsi="黑体" w:eastAsia="黑体" w:cs="黑体"/>
          <w:b/>
          <w:bCs/>
          <w:color w:val="auto"/>
          <w:w w:val="80"/>
          <w:sz w:val="40"/>
          <w:szCs w:val="48"/>
        </w:rPr>
      </w:pPr>
    </w:p>
    <w:p>
      <w:pPr>
        <w:adjustRightInd w:val="0"/>
        <w:spacing w:before="156" w:beforeLines="50" w:line="360" w:lineRule="auto"/>
        <w:rPr>
          <w:rFonts w:ascii="黑体" w:hAnsi="黑体" w:eastAsia="黑体" w:cs="黑体"/>
          <w:b/>
          <w:bCs/>
          <w:color w:val="auto"/>
          <w:w w:val="80"/>
          <w:sz w:val="40"/>
          <w:szCs w:val="48"/>
        </w:rPr>
        <w:sectPr>
          <w:headerReference r:id="rId3" w:type="default"/>
          <w:footerReference r:id="rId4" w:type="default"/>
          <w:pgSz w:w="11906" w:h="16838"/>
          <w:pgMar w:top="1440" w:right="1080" w:bottom="1440" w:left="1080" w:header="851" w:footer="992" w:gutter="0"/>
          <w:pgNumType w:fmt="numberInDash" w:start="1"/>
          <w:cols w:space="425" w:num="1"/>
          <w:docGrid w:type="lines" w:linePitch="312" w:charSpace="0"/>
        </w:sectPr>
      </w:pPr>
    </w:p>
    <w:p>
      <w:pPr>
        <w:adjustRightInd w:val="0"/>
        <w:spacing w:before="156" w:beforeLines="50" w:line="360" w:lineRule="auto"/>
        <w:jc w:val="center"/>
        <w:rPr>
          <w:rFonts w:ascii="黑体" w:hAnsi="黑体" w:eastAsia="黑体" w:cs="黑体"/>
          <w:b/>
          <w:bCs/>
          <w:color w:val="auto"/>
          <w:w w:val="80"/>
          <w:sz w:val="40"/>
          <w:szCs w:val="48"/>
        </w:rPr>
      </w:pPr>
      <w:r>
        <w:rPr>
          <w:rFonts w:hint="eastAsia" w:ascii="黑体" w:hAnsi="黑体" w:eastAsia="黑体" w:cs="黑体"/>
          <w:b/>
          <w:bCs/>
          <w:color w:val="auto"/>
          <w:w w:val="80"/>
          <w:sz w:val="40"/>
          <w:szCs w:val="48"/>
        </w:rPr>
        <w:t>海宁卫生学校教育质量201</w:t>
      </w:r>
      <w:r>
        <w:rPr>
          <w:rFonts w:hint="eastAsia" w:ascii="黑体" w:hAnsi="黑体" w:eastAsia="黑体" w:cs="黑体"/>
          <w:b/>
          <w:bCs/>
          <w:color w:val="auto"/>
          <w:w w:val="80"/>
          <w:sz w:val="40"/>
          <w:szCs w:val="48"/>
          <w:lang w:val="en-US" w:eastAsia="zh-CN"/>
        </w:rPr>
        <w:t>7</w:t>
      </w:r>
      <w:r>
        <w:rPr>
          <w:rFonts w:hint="eastAsia" w:ascii="黑体" w:hAnsi="黑体" w:eastAsia="黑体" w:cs="黑体"/>
          <w:b/>
          <w:bCs/>
          <w:color w:val="auto"/>
          <w:w w:val="80"/>
          <w:sz w:val="40"/>
          <w:szCs w:val="48"/>
        </w:rPr>
        <w:t>年度报告</w:t>
      </w:r>
    </w:p>
    <w:bookmarkEnd w:id="0"/>
    <w:p>
      <w:pPr>
        <w:pStyle w:val="2"/>
        <w:keepNext w:val="0"/>
        <w:keepLines w:val="0"/>
        <w:adjustRightInd w:val="0"/>
        <w:snapToGrid w:val="0"/>
        <w:spacing w:before="312" w:beforeLines="100" w:line="360" w:lineRule="auto"/>
        <w:rPr>
          <w:rFonts w:ascii="黑体" w:hAnsi="黑体" w:eastAsia="黑体" w:cs="黑体"/>
          <w:color w:val="auto"/>
          <w:sz w:val="30"/>
          <w:szCs w:val="30"/>
        </w:rPr>
      </w:pPr>
      <w:bookmarkStart w:id="1" w:name="_Toc471905901"/>
      <w:bookmarkStart w:id="2" w:name="_Toc19282"/>
      <w:r>
        <w:rPr>
          <w:rFonts w:hint="eastAsia" w:ascii="黑体" w:hAnsi="黑体" w:eastAsia="黑体" w:cs="黑体"/>
          <w:color w:val="auto"/>
          <w:sz w:val="30"/>
          <w:szCs w:val="30"/>
        </w:rPr>
        <w:t>1.学校情况</w:t>
      </w:r>
      <w:bookmarkEnd w:id="1"/>
    </w:p>
    <w:bookmarkEnd w:id="2"/>
    <w:p>
      <w:pPr>
        <w:pStyle w:val="3"/>
        <w:keepNext w:val="0"/>
        <w:keepLines w:val="0"/>
        <w:adjustRightInd w:val="0"/>
        <w:spacing w:line="360" w:lineRule="auto"/>
        <w:ind w:firstLine="280" w:firstLineChars="100"/>
        <w:rPr>
          <w:b w:val="0"/>
          <w:color w:val="auto"/>
          <w:sz w:val="28"/>
          <w:szCs w:val="28"/>
        </w:rPr>
      </w:pPr>
      <w:bookmarkStart w:id="3" w:name="_Toc471905902"/>
      <w:bookmarkStart w:id="4" w:name="_Toc7097"/>
      <w:r>
        <w:rPr>
          <w:rFonts w:hint="eastAsia"/>
          <w:b w:val="0"/>
          <w:color w:val="auto"/>
          <w:sz w:val="28"/>
          <w:szCs w:val="28"/>
        </w:rPr>
        <w:t>1.1学校概况</w:t>
      </w:r>
      <w:bookmarkEnd w:id="3"/>
    </w:p>
    <w:p>
      <w:pPr>
        <w:widowControl/>
        <w:snapToGrid w:val="0"/>
        <w:spacing w:line="360" w:lineRule="auto"/>
        <w:ind w:firstLine="48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海宁卫生学校</w:t>
      </w:r>
      <w:r>
        <w:rPr>
          <w:rFonts w:cs="宋体" w:asciiTheme="minorEastAsia" w:hAnsiTheme="minorEastAsia" w:eastAsiaTheme="minorEastAsia"/>
          <w:color w:val="auto"/>
          <w:kern w:val="0"/>
          <w:sz w:val="24"/>
        </w:rPr>
        <w:t>创建于1958年</w:t>
      </w:r>
      <w:r>
        <w:rPr>
          <w:rFonts w:hint="eastAsia" w:cs="宋体" w:asciiTheme="minorEastAsia" w:hAnsiTheme="minorEastAsia" w:eastAsiaTheme="minorEastAsia"/>
          <w:color w:val="auto"/>
          <w:kern w:val="0"/>
          <w:sz w:val="24"/>
        </w:rPr>
        <w:t>，现坐落于素有“皮革之都”的浙江省海宁市硖石镇，隶属于海宁市卫生和计划生育局。2001年经嘉兴市人民政府批准为全日制普通中专，同年评为浙江省一级重点中专；</w:t>
      </w:r>
      <w:r>
        <w:rPr>
          <w:rFonts w:hint="eastAsia" w:ascii="宋体" w:hAnsi="宋体" w:cs="宋体"/>
          <w:color w:val="auto"/>
          <w:kern w:val="0"/>
          <w:sz w:val="24"/>
        </w:rPr>
        <w:t>2003年成立浙江省乡村医生培训分校，负责嘉兴地区乡村医生培训；</w:t>
      </w:r>
      <w:r>
        <w:rPr>
          <w:rFonts w:hint="eastAsia" w:cs="宋体" w:asciiTheme="minorEastAsia" w:hAnsiTheme="minorEastAsia" w:eastAsiaTheme="minorEastAsia"/>
          <w:color w:val="auto"/>
          <w:kern w:val="0"/>
          <w:sz w:val="24"/>
        </w:rPr>
        <w:t>2010年学校被教育部评定为国家级重点中等职业学校；201</w:t>
      </w:r>
      <w:r>
        <w:rPr>
          <w:rFonts w:cs="宋体" w:asciiTheme="minorEastAsia" w:hAnsiTheme="minorEastAsia" w:eastAsiaTheme="minorEastAsia"/>
          <w:color w:val="auto"/>
          <w:kern w:val="0"/>
          <w:sz w:val="24"/>
        </w:rPr>
        <w:t>3</w:t>
      </w:r>
      <w:r>
        <w:rPr>
          <w:rFonts w:hint="eastAsia" w:cs="宋体" w:asciiTheme="minorEastAsia" w:hAnsiTheme="minorEastAsia" w:eastAsiaTheme="minorEastAsia"/>
          <w:color w:val="auto"/>
          <w:kern w:val="0"/>
          <w:sz w:val="24"/>
        </w:rPr>
        <w:t>年评</w:t>
      </w:r>
      <w:r>
        <w:rPr>
          <w:rFonts w:cs="宋体" w:asciiTheme="minorEastAsia" w:hAnsiTheme="minorEastAsia" w:eastAsiaTheme="minorEastAsia"/>
          <w:color w:val="auto"/>
          <w:kern w:val="0"/>
          <w:sz w:val="24"/>
        </w:rPr>
        <w:t>为</w:t>
      </w:r>
      <w:r>
        <w:rPr>
          <w:rFonts w:hint="eastAsia" w:cs="宋体" w:asciiTheme="minorEastAsia" w:hAnsiTheme="minorEastAsia" w:eastAsiaTheme="minorEastAsia"/>
          <w:color w:val="auto"/>
          <w:kern w:val="0"/>
          <w:sz w:val="24"/>
        </w:rPr>
        <w:t>浙江</w:t>
      </w:r>
      <w:r>
        <w:rPr>
          <w:rFonts w:cs="宋体" w:asciiTheme="minorEastAsia" w:hAnsiTheme="minorEastAsia" w:eastAsiaTheme="minorEastAsia"/>
          <w:color w:val="auto"/>
          <w:kern w:val="0"/>
          <w:sz w:val="24"/>
        </w:rPr>
        <w:t>省中等职业教育一级学校</w:t>
      </w:r>
      <w:r>
        <w:rPr>
          <w:rFonts w:hint="eastAsia" w:cs="宋体" w:asciiTheme="minorEastAsia" w:hAnsiTheme="minorEastAsia" w:eastAsiaTheme="minorEastAsia"/>
          <w:color w:val="auto"/>
          <w:sz w:val="24"/>
        </w:rPr>
        <w:t>。201</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年度，学校继续保持</w:t>
      </w:r>
      <w:r>
        <w:rPr>
          <w:rFonts w:hint="eastAsia" w:cs="宋体" w:asciiTheme="minorEastAsia" w:hAnsiTheme="minorEastAsia" w:eastAsiaTheme="minorEastAsia"/>
          <w:color w:val="auto"/>
          <w:kern w:val="0"/>
          <w:sz w:val="24"/>
        </w:rPr>
        <w:t>嘉兴市文明单位、海宁市平安校园（5A级）浙江省禁毒教育示范学校、嘉兴市中小学首批智慧教育深度创新应用项目</w:t>
      </w:r>
      <w:bookmarkStart w:id="5" w:name="_Toc467049647"/>
      <w:r>
        <w:rPr>
          <w:rFonts w:hint="eastAsia" w:cs="宋体" w:asciiTheme="minorEastAsia" w:hAnsiTheme="minorEastAsia" w:eastAsiaTheme="minorEastAsia"/>
          <w:color w:val="auto"/>
          <w:kern w:val="0"/>
          <w:sz w:val="24"/>
        </w:rPr>
        <w:t>、嘉兴市中等职业教育护理专业职业体验中心</w:t>
      </w:r>
      <w:bookmarkEnd w:id="5"/>
      <w:r>
        <w:rPr>
          <w:rFonts w:hint="eastAsia" w:cs="宋体" w:asciiTheme="minorEastAsia" w:hAnsiTheme="minorEastAsia" w:eastAsiaTheme="minorEastAsia"/>
          <w:color w:val="auto"/>
          <w:kern w:val="0"/>
          <w:sz w:val="24"/>
        </w:rPr>
        <w:t>、海宁市中小学示范图书馆、</w:t>
      </w:r>
      <w:r>
        <w:rPr>
          <w:rFonts w:hint="eastAsia" w:asciiTheme="minorEastAsia" w:hAnsiTheme="minorEastAsia" w:eastAsiaTheme="minorEastAsia"/>
          <w:color w:val="auto"/>
          <w:sz w:val="24"/>
          <w:szCs w:val="22"/>
        </w:rPr>
        <w:t>海宁市校园文化先进学校、海宁市示范“美丽校园”</w:t>
      </w:r>
      <w:r>
        <w:rPr>
          <w:rFonts w:hint="eastAsia" w:cs="宋体" w:asciiTheme="minorEastAsia" w:hAnsiTheme="minorEastAsia" w:eastAsiaTheme="minorEastAsia"/>
          <w:color w:val="auto"/>
          <w:kern w:val="0"/>
          <w:sz w:val="24"/>
        </w:rPr>
        <w:t>、海宁市红十字应急救护培训基地、海宁市红十字工作重点样板学校称号，同时还荣获</w:t>
      </w:r>
      <w:r>
        <w:rPr>
          <w:rFonts w:hint="eastAsia" w:cs="宋体" w:asciiTheme="minorEastAsia" w:hAnsiTheme="minorEastAsia" w:eastAsiaTheme="minorEastAsia"/>
          <w:color w:val="auto"/>
          <w:kern w:val="0"/>
          <w:sz w:val="24"/>
          <w:lang w:eastAsia="zh-CN"/>
        </w:rPr>
        <w:t>浙江省教育科研先进单位、中国职业技术教育学会会员单位、中国护理职业教育联盟常务理事单位、第二批浙江省中职教育改革发展示范学校、第二届全国职业院校助产专业技能大赛团体三等奖、浙江省护理人才培养基地海宁分基地、和2017-2017年度海宁市卫计系统先进基层党组织、优秀共产党员优秀党务工作者和优秀党员志愿者</w:t>
      </w:r>
      <w:r>
        <w:rPr>
          <w:rFonts w:hint="eastAsia" w:cs="宋体" w:asciiTheme="minorEastAsia" w:hAnsiTheme="minorEastAsia" w:eastAsiaTheme="minorEastAsia"/>
          <w:color w:val="auto"/>
          <w:kern w:val="0"/>
          <w:sz w:val="24"/>
        </w:rPr>
        <w:t>等荣誉。</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学校占地面积76590平方米，</w:t>
      </w:r>
      <w:r>
        <w:rPr>
          <w:rFonts w:cs="宋体" w:asciiTheme="minorEastAsia" w:hAnsiTheme="minorEastAsia" w:eastAsiaTheme="minorEastAsia"/>
          <w:color w:val="auto"/>
          <w:kern w:val="0"/>
          <w:sz w:val="24"/>
        </w:rPr>
        <w:t>其中</w:t>
      </w:r>
      <w:r>
        <w:rPr>
          <w:rFonts w:hint="eastAsia" w:cs="宋体" w:asciiTheme="minorEastAsia" w:hAnsiTheme="minorEastAsia" w:eastAsiaTheme="minorEastAsia"/>
          <w:color w:val="auto"/>
          <w:kern w:val="0"/>
          <w:sz w:val="24"/>
        </w:rPr>
        <w:t>教学校</w:t>
      </w:r>
      <w:r>
        <w:rPr>
          <w:rFonts w:cs="宋体" w:asciiTheme="minorEastAsia" w:hAnsiTheme="minorEastAsia" w:eastAsiaTheme="minorEastAsia"/>
          <w:color w:val="auto"/>
          <w:kern w:val="0"/>
          <w:sz w:val="24"/>
        </w:rPr>
        <w:t>区面积</w:t>
      </w:r>
      <w:r>
        <w:rPr>
          <w:rFonts w:hint="eastAsia" w:cs="宋体" w:asciiTheme="minorEastAsia" w:hAnsiTheme="minorEastAsia" w:eastAsiaTheme="minorEastAsia"/>
          <w:color w:val="auto"/>
          <w:kern w:val="0"/>
          <w:sz w:val="24"/>
        </w:rPr>
        <w:t>37296平方米，</w:t>
      </w:r>
      <w:r>
        <w:rPr>
          <w:rFonts w:cs="宋体" w:asciiTheme="minorEastAsia" w:hAnsiTheme="minorEastAsia" w:eastAsiaTheme="minorEastAsia"/>
          <w:color w:val="auto"/>
          <w:kern w:val="0"/>
          <w:sz w:val="24"/>
        </w:rPr>
        <w:t>附属医院</w:t>
      </w:r>
      <w:r>
        <w:rPr>
          <w:rFonts w:hint="eastAsia" w:cs="宋体" w:asciiTheme="minorEastAsia" w:hAnsiTheme="minorEastAsia" w:eastAsiaTheme="minorEastAsia"/>
          <w:color w:val="auto"/>
          <w:kern w:val="0"/>
          <w:sz w:val="24"/>
        </w:rPr>
        <w:t>39294平方米，校</w:t>
      </w:r>
      <w:r>
        <w:rPr>
          <w:rFonts w:cs="宋体" w:asciiTheme="minorEastAsia" w:hAnsiTheme="minorEastAsia" w:eastAsiaTheme="minorEastAsia"/>
          <w:color w:val="auto"/>
          <w:kern w:val="0"/>
          <w:sz w:val="24"/>
        </w:rPr>
        <w:t>区</w:t>
      </w:r>
      <w:r>
        <w:rPr>
          <w:rFonts w:hint="eastAsia" w:cs="宋体" w:asciiTheme="minorEastAsia" w:hAnsiTheme="minorEastAsia" w:eastAsiaTheme="minorEastAsia"/>
          <w:color w:val="auto"/>
          <w:kern w:val="0"/>
          <w:sz w:val="24"/>
        </w:rPr>
        <w:t>建筑面积28695平方米，教学区、运动区、生活区、实验区规划合理。建有多媒体教室34个，专业和基础实训室63个，塑胶田径运动场和看台，标准化篮球、排球场4个、乒乓球室、形体</w:t>
      </w:r>
      <w:r>
        <w:rPr>
          <w:rFonts w:cs="宋体" w:asciiTheme="minorEastAsia" w:hAnsiTheme="minorEastAsia" w:eastAsiaTheme="minorEastAsia"/>
          <w:color w:val="auto"/>
          <w:kern w:val="0"/>
          <w:sz w:val="24"/>
        </w:rPr>
        <w:t>训练室</w:t>
      </w:r>
      <w:r>
        <w:rPr>
          <w:rFonts w:hint="eastAsia" w:cs="宋体" w:asciiTheme="minorEastAsia" w:hAnsiTheme="minorEastAsia" w:eastAsiaTheme="minorEastAsia"/>
          <w:color w:val="auto"/>
          <w:kern w:val="0"/>
          <w:sz w:val="24"/>
        </w:rPr>
        <w:t>等文体活动设施，以及多元化食堂、公寓式宿舍、连锁超市等</w:t>
      </w:r>
      <w:r>
        <w:rPr>
          <w:rFonts w:cs="宋体" w:asciiTheme="minorEastAsia" w:hAnsiTheme="minorEastAsia" w:eastAsiaTheme="minorEastAsia"/>
          <w:color w:val="auto"/>
          <w:kern w:val="0"/>
          <w:sz w:val="24"/>
        </w:rPr>
        <w:t>后勤</w:t>
      </w:r>
      <w:r>
        <w:rPr>
          <w:rFonts w:hint="eastAsia" w:cs="宋体" w:asciiTheme="minorEastAsia" w:hAnsiTheme="minorEastAsia" w:eastAsiaTheme="minorEastAsia"/>
          <w:color w:val="auto"/>
          <w:kern w:val="0"/>
          <w:sz w:val="24"/>
        </w:rPr>
        <w:t>保障</w:t>
      </w:r>
      <w:r>
        <w:rPr>
          <w:rFonts w:cs="宋体" w:asciiTheme="minorEastAsia" w:hAnsiTheme="minorEastAsia" w:eastAsiaTheme="minorEastAsia"/>
          <w:color w:val="auto"/>
          <w:kern w:val="0"/>
          <w:sz w:val="24"/>
        </w:rPr>
        <w:t>设施</w:t>
      </w:r>
      <w:r>
        <w:rPr>
          <w:rFonts w:hint="eastAsia" w:cs="宋体" w:asciiTheme="minorEastAsia" w:hAnsiTheme="minorEastAsia" w:eastAsiaTheme="minorEastAsia"/>
          <w:color w:val="auto"/>
          <w:kern w:val="0"/>
          <w:sz w:val="24"/>
        </w:rPr>
        <w:t>。</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学校为医药卫生类专门化学校，</w:t>
      </w:r>
      <w:r>
        <w:rPr>
          <w:rFonts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rPr>
        <w:t>开设药学和医技两大专业群，专业设置有三年制普通中专护理、助产、药剂、医学检验技术、医学影像技术、中药6个专业；与杭州医学院、浙江医药高等专科学校、宁波</w:t>
      </w:r>
      <w:r>
        <w:rPr>
          <w:rFonts w:cs="宋体" w:asciiTheme="minorEastAsia" w:hAnsiTheme="minorEastAsia" w:eastAsiaTheme="minorEastAsia"/>
          <w:color w:val="auto"/>
          <w:kern w:val="0"/>
          <w:sz w:val="24"/>
        </w:rPr>
        <w:t>卫生职业技</w:t>
      </w:r>
      <w:r>
        <w:rPr>
          <w:rFonts w:hint="eastAsia" w:cs="宋体" w:asciiTheme="minorEastAsia" w:hAnsiTheme="minorEastAsia" w:eastAsiaTheme="minorEastAsia"/>
          <w:color w:val="auto"/>
          <w:kern w:val="0"/>
          <w:sz w:val="24"/>
        </w:rPr>
        <w:t>术</w:t>
      </w:r>
      <w:r>
        <w:rPr>
          <w:rFonts w:cs="宋体" w:asciiTheme="minorEastAsia" w:hAnsiTheme="minorEastAsia" w:eastAsiaTheme="minorEastAsia"/>
          <w:color w:val="auto"/>
          <w:kern w:val="0"/>
          <w:sz w:val="24"/>
        </w:rPr>
        <w:t>学院、</w:t>
      </w:r>
      <w:r>
        <w:rPr>
          <w:rFonts w:hint="eastAsia" w:cs="宋体" w:asciiTheme="minorEastAsia" w:hAnsiTheme="minorEastAsia" w:eastAsiaTheme="minorEastAsia"/>
          <w:color w:val="auto"/>
          <w:kern w:val="0"/>
          <w:sz w:val="24"/>
        </w:rPr>
        <w:t>金华职业技术学院、衢</w:t>
      </w:r>
      <w:r>
        <w:rPr>
          <w:rFonts w:cs="宋体" w:asciiTheme="minorEastAsia" w:hAnsiTheme="minorEastAsia" w:eastAsiaTheme="minorEastAsia"/>
          <w:color w:val="auto"/>
          <w:kern w:val="0"/>
          <w:sz w:val="24"/>
        </w:rPr>
        <w:t>州</w:t>
      </w:r>
      <w:r>
        <w:rPr>
          <w:rFonts w:hint="eastAsia" w:cs="宋体" w:asciiTheme="minorEastAsia" w:hAnsiTheme="minorEastAsia" w:eastAsiaTheme="minorEastAsia"/>
          <w:color w:val="auto"/>
          <w:kern w:val="0"/>
          <w:sz w:val="24"/>
        </w:rPr>
        <w:t>职业</w:t>
      </w:r>
      <w:r>
        <w:rPr>
          <w:rFonts w:cs="宋体" w:asciiTheme="minorEastAsia" w:hAnsiTheme="minorEastAsia" w:eastAsiaTheme="minorEastAsia"/>
          <w:color w:val="auto"/>
          <w:kern w:val="0"/>
          <w:sz w:val="24"/>
        </w:rPr>
        <w:t>技术学院</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color w:val="auto"/>
          <w:kern w:val="0"/>
          <w:sz w:val="24"/>
          <w:lang w:eastAsia="zh-CN"/>
        </w:rPr>
        <w:t>台州职业技术学院、</w:t>
      </w:r>
      <w:r>
        <w:rPr>
          <w:rFonts w:hint="eastAsia" w:cs="宋体" w:asciiTheme="minorEastAsia" w:hAnsiTheme="minorEastAsia" w:eastAsiaTheme="minorEastAsia"/>
          <w:color w:val="auto"/>
          <w:kern w:val="0"/>
          <w:sz w:val="24"/>
        </w:rPr>
        <w:t>舟山群岛新区旅游与健康职业学院</w:t>
      </w:r>
      <w:r>
        <w:rPr>
          <w:rFonts w:hint="eastAsia" w:cs="宋体" w:asciiTheme="minorEastAsia" w:hAnsiTheme="minorEastAsia" w:eastAsiaTheme="minorEastAsia"/>
          <w:color w:val="auto"/>
          <w:kern w:val="0"/>
          <w:sz w:val="24"/>
          <w:lang w:eastAsia="zh-CN"/>
        </w:rPr>
        <w:t>七</w:t>
      </w:r>
      <w:r>
        <w:rPr>
          <w:rFonts w:cs="宋体" w:asciiTheme="minorEastAsia" w:hAnsiTheme="minorEastAsia" w:eastAsiaTheme="minorEastAsia"/>
          <w:color w:val="auto"/>
          <w:kern w:val="0"/>
          <w:sz w:val="24"/>
        </w:rPr>
        <w:t>所高职院校</w:t>
      </w:r>
      <w:r>
        <w:rPr>
          <w:rFonts w:hint="eastAsia" w:cs="宋体" w:asciiTheme="minorEastAsia" w:hAnsiTheme="minorEastAsia" w:eastAsiaTheme="minorEastAsia"/>
          <w:color w:val="auto"/>
          <w:kern w:val="0"/>
          <w:sz w:val="24"/>
        </w:rPr>
        <w:t>合作，开设五</w:t>
      </w:r>
      <w:r>
        <w:rPr>
          <w:rFonts w:cs="宋体" w:asciiTheme="minorEastAsia" w:hAnsiTheme="minorEastAsia" w:eastAsiaTheme="minorEastAsia"/>
          <w:color w:val="auto"/>
          <w:kern w:val="0"/>
          <w:sz w:val="24"/>
        </w:rPr>
        <w:t>年</w:t>
      </w:r>
      <w:r>
        <w:rPr>
          <w:rFonts w:hint="eastAsia" w:cs="宋体" w:asciiTheme="minorEastAsia" w:hAnsiTheme="minorEastAsia" w:eastAsiaTheme="minorEastAsia"/>
          <w:color w:val="auto"/>
          <w:kern w:val="0"/>
          <w:sz w:val="24"/>
        </w:rPr>
        <w:t>一贯</w:t>
      </w:r>
      <w:r>
        <w:rPr>
          <w:rFonts w:cs="宋体" w:asciiTheme="minorEastAsia" w:hAnsiTheme="minorEastAsia" w:eastAsiaTheme="minorEastAsia"/>
          <w:color w:val="auto"/>
          <w:kern w:val="0"/>
          <w:sz w:val="24"/>
        </w:rPr>
        <w:t>制</w:t>
      </w:r>
      <w:r>
        <w:rPr>
          <w:rFonts w:hint="eastAsia" w:cs="宋体" w:asciiTheme="minorEastAsia" w:hAnsiTheme="minorEastAsia" w:eastAsiaTheme="minorEastAsia"/>
          <w:color w:val="auto"/>
          <w:kern w:val="0"/>
          <w:sz w:val="24"/>
        </w:rPr>
        <w:t>护理、药</w:t>
      </w:r>
      <w:r>
        <w:rPr>
          <w:rFonts w:cs="宋体" w:asciiTheme="minorEastAsia" w:hAnsiTheme="minorEastAsia" w:eastAsiaTheme="minorEastAsia"/>
          <w:color w:val="auto"/>
          <w:kern w:val="0"/>
          <w:sz w:val="24"/>
        </w:rPr>
        <w:t>学、</w:t>
      </w:r>
      <w:r>
        <w:rPr>
          <w:rFonts w:hint="eastAsia" w:cs="宋体" w:asciiTheme="minorEastAsia" w:hAnsiTheme="minorEastAsia" w:eastAsiaTheme="minorEastAsia"/>
          <w:color w:val="auto"/>
          <w:kern w:val="0"/>
          <w:sz w:val="24"/>
          <w:lang w:eastAsia="zh-CN"/>
        </w:rPr>
        <w:t>中药、</w:t>
      </w:r>
      <w:r>
        <w:rPr>
          <w:rFonts w:hint="eastAsia" w:cs="宋体" w:asciiTheme="minorEastAsia" w:hAnsiTheme="minorEastAsia" w:eastAsiaTheme="minorEastAsia"/>
          <w:color w:val="auto"/>
          <w:kern w:val="0"/>
          <w:sz w:val="24"/>
        </w:rPr>
        <w:t>医</w:t>
      </w:r>
      <w:r>
        <w:rPr>
          <w:rFonts w:cs="宋体" w:asciiTheme="minorEastAsia" w:hAnsiTheme="minorEastAsia" w:eastAsiaTheme="minorEastAsia"/>
          <w:color w:val="auto"/>
          <w:kern w:val="0"/>
          <w:sz w:val="24"/>
        </w:rPr>
        <w:t>学检验技术</w:t>
      </w:r>
      <w:r>
        <w:rPr>
          <w:rFonts w:hint="eastAsia" w:cs="宋体" w:asciiTheme="minorEastAsia" w:hAnsiTheme="minorEastAsia" w:eastAsiaTheme="minorEastAsia"/>
          <w:color w:val="auto"/>
          <w:kern w:val="0"/>
          <w:sz w:val="24"/>
          <w:lang w:val="en-US" w:eastAsia="zh-CN"/>
        </w:rPr>
        <w:t>4</w:t>
      </w:r>
      <w:r>
        <w:rPr>
          <w:rFonts w:hint="eastAsia" w:cs="宋体" w:asciiTheme="minorEastAsia" w:hAnsiTheme="minorEastAsia" w:eastAsiaTheme="minorEastAsia"/>
          <w:color w:val="auto"/>
          <w:kern w:val="0"/>
          <w:sz w:val="24"/>
        </w:rPr>
        <w:t>个</w:t>
      </w:r>
      <w:r>
        <w:rPr>
          <w:rFonts w:cs="宋体" w:asciiTheme="minorEastAsia" w:hAnsiTheme="minorEastAsia" w:eastAsiaTheme="minorEastAsia"/>
          <w:color w:val="auto"/>
          <w:kern w:val="0"/>
          <w:sz w:val="24"/>
        </w:rPr>
        <w:t>专业</w:t>
      </w:r>
      <w:r>
        <w:rPr>
          <w:rFonts w:hint="eastAsia" w:cs="宋体" w:asciiTheme="minorEastAsia" w:hAnsiTheme="minorEastAsia" w:eastAsiaTheme="minorEastAsia"/>
          <w:color w:val="auto"/>
          <w:kern w:val="0"/>
          <w:sz w:val="24"/>
        </w:rPr>
        <w:t>。</w:t>
      </w:r>
    </w:p>
    <w:p>
      <w:pPr>
        <w:pStyle w:val="3"/>
        <w:keepNext w:val="0"/>
        <w:keepLines w:val="0"/>
        <w:adjustRightInd w:val="0"/>
        <w:spacing w:line="360" w:lineRule="auto"/>
        <w:ind w:firstLine="280" w:firstLineChars="100"/>
        <w:rPr>
          <w:b w:val="0"/>
          <w:color w:val="auto"/>
          <w:sz w:val="28"/>
          <w:szCs w:val="28"/>
        </w:rPr>
      </w:pPr>
      <w:bookmarkStart w:id="6" w:name="_Toc471905903"/>
      <w:r>
        <w:rPr>
          <w:rFonts w:hint="eastAsia"/>
          <w:b w:val="0"/>
          <w:color w:val="auto"/>
          <w:sz w:val="28"/>
          <w:szCs w:val="28"/>
        </w:rPr>
        <w:t>1.2学生情况</w:t>
      </w:r>
      <w:bookmarkEnd w:id="6"/>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宋体" w:hAnsi="宋体" w:cs="宋体"/>
          <w:color w:val="auto"/>
          <w:kern w:val="0"/>
          <w:sz w:val="24"/>
        </w:rPr>
      </w:pPr>
      <w:r>
        <w:rPr>
          <w:rFonts w:hint="eastAsia" w:cs="宋体" w:asciiTheme="minorEastAsia" w:hAnsiTheme="minorEastAsia" w:eastAsiaTheme="minorEastAsia"/>
          <w:color w:val="auto"/>
          <w:kern w:val="0"/>
          <w:sz w:val="24"/>
        </w:rPr>
        <w:t>截止2017年12月，学校在校全日制学生2925人，2017年从全省各地市招收初中毕业生1032人，招生保持</w:t>
      </w:r>
      <w:r>
        <w:rPr>
          <w:rFonts w:hint="eastAsia" w:ascii="宋体" w:hAnsi="宋体" w:cs="宋体"/>
          <w:color w:val="auto"/>
          <w:kern w:val="0"/>
          <w:sz w:val="24"/>
        </w:rPr>
        <w:t>稳定而良好的生源，录取分数线与普通高中接近，其中五年一贯制录取平均分均高于当地普高分数线；毕业学生853人；2017年学生流失控制良好，流失率为0.16%，巩固率为99.84%。</w:t>
      </w:r>
    </w:p>
    <w:p>
      <w:pPr>
        <w:adjustRightInd w:val="0"/>
        <w:snapToGrid w:val="0"/>
        <w:spacing w:line="500" w:lineRule="exact"/>
        <w:ind w:firstLine="241" w:firstLineChars="100"/>
        <w:rPr>
          <w:rFonts w:ascii="宋体" w:hAnsi="宋体" w:cs="宋体"/>
          <w:color w:val="auto"/>
          <w:kern w:val="0"/>
          <w:sz w:val="24"/>
        </w:rPr>
      </w:pPr>
      <w:r>
        <w:rPr>
          <w:rFonts w:hint="eastAsia" w:ascii="宋体" w:hAnsi="宋体" w:cs="宋体"/>
          <w:b/>
          <w:color w:val="auto"/>
          <w:kern w:val="0"/>
          <w:sz w:val="24"/>
        </w:rPr>
        <w:t>表1：2017、2016年度各</w:t>
      </w:r>
      <w:r>
        <w:rPr>
          <w:rFonts w:ascii="宋体" w:hAnsi="宋体" w:cs="宋体"/>
          <w:b/>
          <w:color w:val="auto"/>
          <w:kern w:val="0"/>
          <w:sz w:val="24"/>
        </w:rPr>
        <w:t>专业招生人数</w:t>
      </w:r>
      <w:r>
        <w:rPr>
          <w:rFonts w:hint="eastAsia" w:ascii="宋体" w:hAnsi="宋体" w:cs="宋体"/>
          <w:b/>
          <w:color w:val="auto"/>
          <w:kern w:val="0"/>
          <w:sz w:val="24"/>
        </w:rPr>
        <w:t>汇总比对表</w:t>
      </w:r>
    </w:p>
    <w:tbl>
      <w:tblPr>
        <w:tblStyle w:val="14"/>
        <w:tblW w:w="98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03"/>
        <w:gridCol w:w="2551"/>
        <w:gridCol w:w="2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spacing w:line="360" w:lineRule="auto"/>
              <w:ind w:firstLine="1560" w:firstLineChars="650"/>
              <w:rPr>
                <w:rFonts w:ascii="仿宋" w:hAnsi="仿宋" w:eastAsia="仿宋" w:cs="宋体"/>
                <w:color w:val="auto"/>
                <w:kern w:val="0"/>
                <w:sz w:val="24"/>
              </w:rPr>
            </w:pPr>
            <w:r>
              <w:rPr>
                <w:rFonts w:hint="eastAsia" w:ascii="仿宋" w:hAnsi="仿宋" w:eastAsia="仿宋" w:cs="宋体"/>
                <w:color w:val="auto"/>
                <w:kern w:val="0"/>
                <w:sz w:val="24"/>
              </w:rPr>
              <w:t>专   业</w:t>
            </w:r>
          </w:p>
        </w:tc>
        <w:tc>
          <w:tcPr>
            <w:tcW w:w="2551" w:type="dxa"/>
            <w:tcBorders>
              <w:right w:val="single" w:color="auto" w:sz="4" w:space="0"/>
            </w:tcBorders>
            <w:vAlign w:val="center"/>
          </w:tcPr>
          <w:p>
            <w:pPr>
              <w:spacing w:line="360" w:lineRule="auto"/>
              <w:ind w:firstLine="840" w:firstLineChars="350"/>
              <w:rPr>
                <w:rFonts w:ascii="仿宋" w:hAnsi="仿宋" w:eastAsia="仿宋" w:cs="宋体"/>
                <w:color w:val="auto"/>
                <w:kern w:val="0"/>
                <w:sz w:val="24"/>
              </w:rPr>
            </w:pPr>
            <w:r>
              <w:rPr>
                <w:rFonts w:hint="eastAsia" w:ascii="仿宋" w:hAnsi="仿宋" w:eastAsia="仿宋" w:cs="宋体"/>
                <w:color w:val="auto"/>
                <w:kern w:val="0"/>
                <w:sz w:val="24"/>
              </w:rPr>
              <w:t>2016年</w:t>
            </w:r>
          </w:p>
        </w:tc>
        <w:tc>
          <w:tcPr>
            <w:tcW w:w="2826" w:type="dxa"/>
            <w:tcBorders>
              <w:left w:val="single" w:color="auto" w:sz="4" w:space="0"/>
            </w:tcBorders>
            <w:vAlign w:val="center"/>
          </w:tcPr>
          <w:p>
            <w:pPr>
              <w:spacing w:line="360" w:lineRule="auto"/>
              <w:ind w:firstLine="840" w:firstLineChars="350"/>
              <w:rPr>
                <w:rFonts w:ascii="仿宋" w:hAnsi="仿宋" w:eastAsia="仿宋" w:cs="宋体"/>
                <w:color w:val="auto"/>
                <w:kern w:val="0"/>
                <w:sz w:val="24"/>
              </w:rPr>
            </w:pPr>
            <w:r>
              <w:rPr>
                <w:rFonts w:hint="eastAsia" w:ascii="仿宋" w:hAnsi="仿宋" w:eastAsia="仿宋" w:cs="宋体"/>
                <w:color w:val="auto"/>
                <w:kern w:val="0"/>
                <w:sz w:val="24"/>
              </w:rPr>
              <w:t>2017年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护理（五年一贯制）</w:t>
            </w:r>
          </w:p>
        </w:tc>
        <w:tc>
          <w:tcPr>
            <w:tcW w:w="2551" w:type="dxa"/>
            <w:tcBorders>
              <w:right w:val="single" w:color="auto" w:sz="4" w:space="0"/>
            </w:tcBorders>
            <w:vAlign w:val="center"/>
          </w:tcPr>
          <w:p>
            <w:pPr>
              <w:jc w:val="center"/>
              <w:rPr>
                <w:rFonts w:ascii="仿宋" w:hAnsi="仿宋" w:eastAsia="仿宋" w:cs="宋体"/>
                <w:color w:val="auto"/>
                <w:sz w:val="24"/>
              </w:rPr>
            </w:pPr>
            <w:r>
              <w:rPr>
                <w:rFonts w:hint="eastAsia" w:ascii="仿宋" w:hAnsi="仿宋" w:eastAsia="仿宋" w:cs="宋体"/>
                <w:color w:val="auto"/>
                <w:sz w:val="24"/>
              </w:rPr>
              <w:t>310</w:t>
            </w:r>
          </w:p>
        </w:tc>
        <w:tc>
          <w:tcPr>
            <w:tcW w:w="2826" w:type="dxa"/>
            <w:tcBorders>
              <w:left w:val="single" w:color="auto" w:sz="4" w:space="0"/>
            </w:tcBorders>
            <w:vAlign w:val="center"/>
          </w:tcPr>
          <w:p>
            <w:pPr>
              <w:jc w:val="center"/>
              <w:rPr>
                <w:rFonts w:ascii="仿宋" w:hAnsi="仿宋" w:eastAsia="仿宋" w:cs="宋体"/>
                <w:color w:val="auto"/>
                <w:sz w:val="24"/>
              </w:rPr>
            </w:pPr>
            <w:r>
              <w:rPr>
                <w:rFonts w:hint="eastAsia" w:ascii="仿宋" w:hAnsi="仿宋" w:eastAsia="仿宋" w:cs="宋体"/>
                <w:color w:val="auto"/>
                <w:sz w:val="24"/>
              </w:rPr>
              <w:t>399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药学（五年一贯制）</w:t>
            </w:r>
          </w:p>
        </w:tc>
        <w:tc>
          <w:tcPr>
            <w:tcW w:w="2551" w:type="dxa"/>
            <w:tcBorders>
              <w:right w:val="single" w:color="auto" w:sz="4" w:space="0"/>
            </w:tcBorders>
            <w:vAlign w:val="center"/>
          </w:tcPr>
          <w:p>
            <w:pPr>
              <w:jc w:val="center"/>
              <w:rPr>
                <w:rFonts w:ascii="仿宋" w:hAnsi="仿宋" w:eastAsia="仿宋" w:cs="宋体"/>
                <w:color w:val="auto"/>
                <w:sz w:val="24"/>
              </w:rPr>
            </w:pPr>
            <w:r>
              <w:rPr>
                <w:rFonts w:ascii="仿宋" w:hAnsi="仿宋" w:eastAsia="仿宋" w:cs="宋体"/>
                <w:color w:val="auto"/>
                <w:sz w:val="24"/>
              </w:rPr>
              <w:t>98</w:t>
            </w:r>
          </w:p>
        </w:tc>
        <w:tc>
          <w:tcPr>
            <w:tcW w:w="2826" w:type="dxa"/>
            <w:tcBorders>
              <w:left w:val="single" w:color="auto" w:sz="4" w:space="0"/>
            </w:tcBorders>
            <w:vAlign w:val="center"/>
          </w:tcPr>
          <w:p>
            <w:pPr>
              <w:jc w:val="center"/>
              <w:rPr>
                <w:rFonts w:ascii="仿宋" w:hAnsi="仿宋" w:eastAsia="仿宋" w:cs="宋体"/>
                <w:color w:val="auto"/>
                <w:sz w:val="24"/>
              </w:rPr>
            </w:pPr>
            <w:r>
              <w:rPr>
                <w:rFonts w:hint="eastAsia" w:ascii="仿宋" w:hAnsi="仿宋" w:eastAsia="仿宋" w:cs="宋体"/>
                <w:color w:val="auto"/>
                <w:sz w:val="24"/>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助产（五年一贯制）</w:t>
            </w:r>
          </w:p>
        </w:tc>
        <w:tc>
          <w:tcPr>
            <w:tcW w:w="2551" w:type="dxa"/>
            <w:tcBorders>
              <w:right w:val="single" w:color="auto" w:sz="4" w:space="0"/>
            </w:tcBorders>
            <w:vAlign w:val="center"/>
          </w:tcPr>
          <w:p>
            <w:pPr>
              <w:jc w:val="center"/>
              <w:rPr>
                <w:rFonts w:hint="eastAsia" w:ascii="仿宋" w:hAnsi="仿宋" w:eastAsia="仿宋" w:cs="宋体"/>
                <w:color w:val="auto"/>
                <w:sz w:val="24"/>
              </w:rPr>
            </w:pPr>
            <w:r>
              <w:rPr>
                <w:rFonts w:hint="eastAsia" w:ascii="仿宋" w:hAnsi="仿宋" w:eastAsia="仿宋" w:cs="宋体"/>
                <w:color w:val="auto"/>
                <w:sz w:val="24"/>
              </w:rPr>
              <w:t>--</w:t>
            </w:r>
          </w:p>
        </w:tc>
        <w:tc>
          <w:tcPr>
            <w:tcW w:w="2826" w:type="dxa"/>
            <w:tcBorders>
              <w:left w:val="single" w:color="auto" w:sz="4" w:space="0"/>
            </w:tcBorders>
            <w:vAlign w:val="center"/>
          </w:tcPr>
          <w:p>
            <w:pPr>
              <w:jc w:val="center"/>
              <w:rPr>
                <w:rFonts w:ascii="仿宋" w:hAnsi="仿宋" w:eastAsia="仿宋" w:cs="宋体"/>
                <w:color w:val="auto"/>
                <w:sz w:val="24"/>
              </w:rPr>
            </w:pPr>
            <w:r>
              <w:rPr>
                <w:rFonts w:hint="eastAsia" w:ascii="仿宋" w:hAnsi="仿宋" w:eastAsia="仿宋" w:cs="宋体"/>
                <w:color w:val="auto"/>
                <w:sz w:val="24"/>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医学检验技术（五年一贯制）</w:t>
            </w:r>
          </w:p>
        </w:tc>
        <w:tc>
          <w:tcPr>
            <w:tcW w:w="2551" w:type="dxa"/>
            <w:tcBorders>
              <w:right w:val="single" w:color="auto" w:sz="4" w:space="0"/>
            </w:tcBorders>
            <w:vAlign w:val="center"/>
          </w:tcPr>
          <w:p>
            <w:pPr>
              <w:jc w:val="center"/>
              <w:rPr>
                <w:rFonts w:ascii="仿宋" w:hAnsi="仿宋" w:eastAsia="仿宋" w:cs="宋体"/>
                <w:color w:val="auto"/>
                <w:sz w:val="24"/>
              </w:rPr>
            </w:pPr>
            <w:r>
              <w:rPr>
                <w:rFonts w:hint="eastAsia" w:ascii="仿宋" w:hAnsi="仿宋" w:eastAsia="仿宋" w:cs="宋体"/>
                <w:color w:val="auto"/>
                <w:sz w:val="24"/>
              </w:rPr>
              <w:t>40</w:t>
            </w:r>
          </w:p>
        </w:tc>
        <w:tc>
          <w:tcPr>
            <w:tcW w:w="2826" w:type="dxa"/>
            <w:tcBorders>
              <w:left w:val="single" w:color="auto" w:sz="4" w:space="0"/>
            </w:tcBorders>
            <w:vAlign w:val="center"/>
          </w:tcPr>
          <w:p>
            <w:pPr>
              <w:jc w:val="center"/>
              <w:rPr>
                <w:rFonts w:ascii="仿宋" w:hAnsi="仿宋" w:eastAsia="仿宋" w:cs="宋体"/>
                <w:color w:val="auto"/>
                <w:sz w:val="24"/>
              </w:rPr>
            </w:pPr>
            <w:r>
              <w:rPr>
                <w:rFonts w:hint="eastAsia" w:ascii="仿宋" w:hAnsi="仿宋" w:eastAsia="仿宋" w:cs="宋体"/>
                <w:color w:val="auto"/>
                <w:sz w:val="24"/>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中药（五年一贯制）</w:t>
            </w:r>
          </w:p>
        </w:tc>
        <w:tc>
          <w:tcPr>
            <w:tcW w:w="2551" w:type="dxa"/>
            <w:tcBorders>
              <w:right w:val="single" w:color="auto" w:sz="4" w:space="0"/>
            </w:tcBorders>
            <w:vAlign w:val="center"/>
          </w:tcPr>
          <w:p>
            <w:pPr>
              <w:jc w:val="center"/>
              <w:rPr>
                <w:rFonts w:ascii="仿宋" w:hAnsi="仿宋" w:eastAsia="仿宋" w:cs="宋体"/>
                <w:color w:val="auto"/>
                <w:sz w:val="24"/>
              </w:rPr>
            </w:pPr>
            <w:r>
              <w:rPr>
                <w:rFonts w:hint="eastAsia" w:ascii="仿宋" w:hAnsi="仿宋" w:eastAsia="仿宋" w:cs="宋体"/>
                <w:color w:val="auto"/>
                <w:sz w:val="24"/>
              </w:rPr>
              <w:t>48</w:t>
            </w:r>
          </w:p>
        </w:tc>
        <w:tc>
          <w:tcPr>
            <w:tcW w:w="2826" w:type="dxa"/>
            <w:tcBorders>
              <w:left w:val="single" w:color="auto" w:sz="4" w:space="0"/>
            </w:tcBorders>
            <w:vAlign w:val="center"/>
          </w:tcPr>
          <w:p>
            <w:pPr>
              <w:jc w:val="center"/>
              <w:rPr>
                <w:rFonts w:ascii="仿宋" w:hAnsi="仿宋" w:eastAsia="仿宋" w:cs="宋体"/>
                <w:color w:val="auto"/>
                <w:sz w:val="24"/>
              </w:rPr>
            </w:pPr>
            <w:r>
              <w:rPr>
                <w:rFonts w:hint="eastAsia" w:ascii="仿宋" w:hAnsi="仿宋" w:eastAsia="仿宋" w:cs="宋体"/>
                <w:color w:val="auto"/>
                <w:sz w:val="24"/>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护理助产大类（普通中专）</w:t>
            </w:r>
          </w:p>
        </w:tc>
        <w:tc>
          <w:tcPr>
            <w:tcW w:w="2551" w:type="dxa"/>
            <w:tcBorders>
              <w:right w:val="single" w:color="auto" w:sz="4" w:space="0"/>
            </w:tcBorders>
            <w:vAlign w:val="center"/>
          </w:tcPr>
          <w:p>
            <w:pPr>
              <w:jc w:val="center"/>
              <w:rPr>
                <w:rFonts w:ascii="仿宋" w:hAnsi="仿宋" w:eastAsia="仿宋" w:cs="宋体"/>
                <w:color w:val="auto"/>
                <w:sz w:val="24"/>
              </w:rPr>
            </w:pPr>
            <w:r>
              <w:rPr>
                <w:rFonts w:hint="eastAsia" w:ascii="仿宋" w:hAnsi="仿宋" w:eastAsia="仿宋" w:cs="宋体"/>
                <w:color w:val="auto"/>
                <w:sz w:val="24"/>
              </w:rPr>
              <w:t>366</w:t>
            </w:r>
          </w:p>
        </w:tc>
        <w:tc>
          <w:tcPr>
            <w:tcW w:w="2826" w:type="dxa"/>
            <w:tcBorders>
              <w:left w:val="single" w:color="auto" w:sz="4" w:space="0"/>
            </w:tcBorders>
            <w:vAlign w:val="center"/>
          </w:tcPr>
          <w:p>
            <w:pPr>
              <w:jc w:val="center"/>
              <w:rPr>
                <w:rFonts w:ascii="仿宋" w:hAnsi="仿宋" w:eastAsia="仿宋" w:cs="宋体"/>
                <w:color w:val="auto"/>
                <w:sz w:val="24"/>
              </w:rPr>
            </w:pPr>
            <w:r>
              <w:rPr>
                <w:rFonts w:hint="eastAsia" w:ascii="仿宋" w:hAnsi="仿宋" w:eastAsia="仿宋" w:cs="宋体"/>
                <w:color w:val="auto"/>
                <w:sz w:val="24"/>
              </w:rP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药剂及技术大类（普通中专）</w:t>
            </w:r>
          </w:p>
        </w:tc>
        <w:tc>
          <w:tcPr>
            <w:tcW w:w="2551" w:type="dxa"/>
            <w:tcBorders>
              <w:right w:val="single" w:color="auto" w:sz="4" w:space="0"/>
            </w:tcBorders>
            <w:vAlign w:val="center"/>
          </w:tcPr>
          <w:p>
            <w:pPr>
              <w:jc w:val="center"/>
              <w:rPr>
                <w:rFonts w:ascii="仿宋" w:hAnsi="仿宋" w:eastAsia="仿宋" w:cs="宋体"/>
                <w:color w:val="auto"/>
                <w:sz w:val="24"/>
              </w:rPr>
            </w:pPr>
            <w:r>
              <w:rPr>
                <w:rFonts w:hint="eastAsia" w:ascii="仿宋" w:hAnsi="仿宋" w:eastAsia="仿宋" w:cs="宋体"/>
                <w:color w:val="auto"/>
                <w:sz w:val="24"/>
              </w:rPr>
              <w:t>89</w:t>
            </w:r>
          </w:p>
        </w:tc>
        <w:tc>
          <w:tcPr>
            <w:tcW w:w="2826" w:type="dxa"/>
            <w:tcBorders>
              <w:left w:val="single" w:color="auto" w:sz="4" w:space="0"/>
            </w:tcBorders>
            <w:vAlign w:val="center"/>
          </w:tcPr>
          <w:p>
            <w:pPr>
              <w:jc w:val="center"/>
              <w:rPr>
                <w:rFonts w:ascii="仿宋" w:hAnsi="仿宋" w:eastAsia="仿宋" w:cs="宋体"/>
                <w:color w:val="auto"/>
                <w:sz w:val="24"/>
              </w:rPr>
            </w:pPr>
            <w:r>
              <w:rPr>
                <w:rFonts w:hint="eastAsia" w:ascii="仿宋" w:hAnsi="仿宋" w:eastAsia="仿宋" w:cs="宋体"/>
                <w:color w:val="auto"/>
                <w:sz w:val="24"/>
              </w:rPr>
              <w:t>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b/>
                <w:color w:val="auto"/>
                <w:sz w:val="24"/>
              </w:rPr>
            </w:pPr>
            <w:r>
              <w:rPr>
                <w:rFonts w:hint="eastAsia" w:ascii="仿宋" w:hAnsi="仿宋" w:eastAsia="仿宋" w:cs="宋体"/>
                <w:b/>
                <w:color w:val="auto"/>
                <w:sz w:val="24"/>
              </w:rPr>
              <w:t>合        计</w:t>
            </w:r>
          </w:p>
        </w:tc>
        <w:tc>
          <w:tcPr>
            <w:tcW w:w="2551" w:type="dxa"/>
            <w:tcBorders>
              <w:right w:val="single" w:color="auto" w:sz="4" w:space="0"/>
            </w:tcBorders>
            <w:vAlign w:val="center"/>
          </w:tcPr>
          <w:p>
            <w:pPr>
              <w:jc w:val="center"/>
              <w:rPr>
                <w:rFonts w:ascii="仿宋" w:hAnsi="仿宋" w:eastAsia="仿宋" w:cs="宋体"/>
                <w:color w:val="auto"/>
                <w:sz w:val="24"/>
              </w:rPr>
            </w:pPr>
            <w:r>
              <w:rPr>
                <w:rFonts w:hint="eastAsia" w:ascii="仿宋" w:hAnsi="仿宋" w:eastAsia="仿宋" w:cs="宋体"/>
                <w:color w:val="auto"/>
                <w:sz w:val="24"/>
              </w:rPr>
              <w:t>951</w:t>
            </w:r>
          </w:p>
        </w:tc>
        <w:tc>
          <w:tcPr>
            <w:tcW w:w="2826" w:type="dxa"/>
            <w:tcBorders>
              <w:left w:val="single" w:color="auto" w:sz="4" w:space="0"/>
            </w:tcBorders>
            <w:vAlign w:val="center"/>
          </w:tcPr>
          <w:p>
            <w:pPr>
              <w:jc w:val="center"/>
              <w:rPr>
                <w:rFonts w:ascii="仿宋" w:hAnsi="仿宋" w:eastAsia="仿宋" w:cs="宋体"/>
                <w:color w:val="auto"/>
                <w:sz w:val="24"/>
              </w:rPr>
            </w:pPr>
            <w:r>
              <w:rPr>
                <w:rFonts w:hint="eastAsia" w:ascii="仿宋" w:hAnsi="仿宋" w:eastAsia="仿宋" w:cs="宋体"/>
                <w:color w:val="auto"/>
                <w:sz w:val="24"/>
              </w:rPr>
              <w:t>1032</w:t>
            </w:r>
          </w:p>
        </w:tc>
      </w:tr>
    </w:tbl>
    <w:p>
      <w:pPr>
        <w:adjustRightInd w:val="0"/>
        <w:snapToGrid w:val="0"/>
        <w:spacing w:line="500" w:lineRule="exact"/>
        <w:ind w:firstLine="480" w:firstLineChars="200"/>
        <w:rPr>
          <w:rFonts w:ascii="宋体" w:hAnsi="宋体" w:cs="宋体"/>
          <w:color w:val="auto"/>
          <w:kern w:val="0"/>
          <w:sz w:val="24"/>
        </w:rPr>
      </w:pPr>
    </w:p>
    <w:p>
      <w:pPr>
        <w:spacing w:line="360" w:lineRule="auto"/>
        <w:ind w:firstLine="241" w:firstLineChars="100"/>
        <w:rPr>
          <w:rFonts w:ascii="宋体" w:hAnsi="宋体" w:cs="宋体"/>
          <w:b/>
          <w:color w:val="auto"/>
          <w:kern w:val="0"/>
          <w:sz w:val="24"/>
        </w:rPr>
      </w:pPr>
      <w:r>
        <w:rPr>
          <w:rFonts w:hint="eastAsia" w:ascii="宋体" w:hAnsi="宋体" w:cs="宋体"/>
          <w:b/>
          <w:color w:val="auto"/>
          <w:sz w:val="24"/>
        </w:rPr>
        <w:t>表2：</w:t>
      </w:r>
      <w:r>
        <w:rPr>
          <w:rFonts w:hint="eastAsia" w:ascii="宋体" w:hAnsi="宋体" w:cs="宋体"/>
          <w:b/>
          <w:color w:val="auto"/>
          <w:kern w:val="0"/>
          <w:sz w:val="24"/>
        </w:rPr>
        <w:t>201</w:t>
      </w:r>
      <w:r>
        <w:rPr>
          <w:rFonts w:ascii="宋体" w:hAnsi="宋体" w:cs="宋体"/>
          <w:b/>
          <w:color w:val="auto"/>
          <w:kern w:val="0"/>
          <w:sz w:val="24"/>
        </w:rPr>
        <w:t>7</w:t>
      </w:r>
      <w:r>
        <w:rPr>
          <w:rFonts w:hint="eastAsia" w:ascii="宋体" w:hAnsi="宋体" w:cs="宋体"/>
          <w:b/>
          <w:color w:val="auto"/>
          <w:kern w:val="0"/>
          <w:sz w:val="24"/>
        </w:rPr>
        <w:t>、201</w:t>
      </w:r>
      <w:r>
        <w:rPr>
          <w:rFonts w:ascii="宋体" w:hAnsi="宋体" w:cs="宋体"/>
          <w:b/>
          <w:color w:val="auto"/>
          <w:kern w:val="0"/>
          <w:sz w:val="24"/>
        </w:rPr>
        <w:t>6</w:t>
      </w:r>
      <w:r>
        <w:rPr>
          <w:rFonts w:hint="eastAsia" w:ascii="宋体" w:hAnsi="宋体" w:cs="宋体"/>
          <w:b/>
          <w:color w:val="auto"/>
          <w:kern w:val="0"/>
          <w:sz w:val="24"/>
        </w:rPr>
        <w:t>年度各</w:t>
      </w:r>
      <w:r>
        <w:rPr>
          <w:rFonts w:ascii="宋体" w:hAnsi="宋体" w:cs="宋体"/>
          <w:b/>
          <w:color w:val="auto"/>
          <w:kern w:val="0"/>
          <w:sz w:val="24"/>
        </w:rPr>
        <w:t>专业</w:t>
      </w:r>
      <w:r>
        <w:rPr>
          <w:rFonts w:hint="eastAsia" w:ascii="宋体" w:hAnsi="宋体" w:cs="宋体"/>
          <w:b/>
          <w:color w:val="auto"/>
          <w:kern w:val="0"/>
          <w:sz w:val="24"/>
        </w:rPr>
        <w:t>毕业生人数汇总比对表</w:t>
      </w:r>
    </w:p>
    <w:tbl>
      <w:tblPr>
        <w:tblStyle w:val="14"/>
        <w:tblW w:w="984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03"/>
        <w:gridCol w:w="2551"/>
        <w:gridCol w:w="27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ind w:firstLine="1560" w:firstLineChars="650"/>
              <w:rPr>
                <w:rFonts w:ascii="仿宋" w:hAnsi="仿宋" w:eastAsia="仿宋" w:cs="宋体"/>
                <w:color w:val="auto"/>
                <w:sz w:val="24"/>
              </w:rPr>
            </w:pPr>
            <w:r>
              <w:rPr>
                <w:rFonts w:hint="eastAsia" w:ascii="仿宋" w:hAnsi="仿宋" w:eastAsia="仿宋" w:cs="宋体"/>
                <w:color w:val="auto"/>
                <w:sz w:val="24"/>
              </w:rPr>
              <w:t>专    业</w:t>
            </w:r>
          </w:p>
        </w:tc>
        <w:tc>
          <w:tcPr>
            <w:tcW w:w="2551" w:type="dxa"/>
            <w:tcBorders>
              <w:righ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2016年</w:t>
            </w:r>
          </w:p>
        </w:tc>
        <w:tc>
          <w:tcPr>
            <w:tcW w:w="2786" w:type="dxa"/>
            <w:tcBorders>
              <w:lef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2017年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护理（3+2）</w:t>
            </w:r>
          </w:p>
        </w:tc>
        <w:tc>
          <w:tcPr>
            <w:tcW w:w="2551" w:type="dxa"/>
            <w:tcBorders>
              <w:righ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259</w:t>
            </w:r>
          </w:p>
        </w:tc>
        <w:tc>
          <w:tcPr>
            <w:tcW w:w="2786" w:type="dxa"/>
            <w:tcBorders>
              <w:lef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护理（五年一贯制）</w:t>
            </w:r>
          </w:p>
        </w:tc>
        <w:tc>
          <w:tcPr>
            <w:tcW w:w="2551" w:type="dxa"/>
            <w:tcBorders>
              <w:righ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90</w:t>
            </w:r>
          </w:p>
        </w:tc>
        <w:tc>
          <w:tcPr>
            <w:tcW w:w="2786" w:type="dxa"/>
            <w:tcBorders>
              <w:lef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药学（五年一贯制）</w:t>
            </w:r>
          </w:p>
        </w:tc>
        <w:tc>
          <w:tcPr>
            <w:tcW w:w="2551" w:type="dxa"/>
            <w:tcBorders>
              <w:righ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64</w:t>
            </w:r>
          </w:p>
        </w:tc>
        <w:tc>
          <w:tcPr>
            <w:tcW w:w="2786" w:type="dxa"/>
            <w:tcBorders>
              <w:lef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药学（3+2）</w:t>
            </w:r>
          </w:p>
        </w:tc>
        <w:tc>
          <w:tcPr>
            <w:tcW w:w="2551" w:type="dxa"/>
            <w:tcBorders>
              <w:righ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105</w:t>
            </w:r>
          </w:p>
        </w:tc>
        <w:tc>
          <w:tcPr>
            <w:tcW w:w="2786" w:type="dxa"/>
            <w:tcBorders>
              <w:lef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医学检验技术（3+2）</w:t>
            </w:r>
          </w:p>
        </w:tc>
        <w:tc>
          <w:tcPr>
            <w:tcW w:w="2551" w:type="dxa"/>
            <w:tcBorders>
              <w:righ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61</w:t>
            </w:r>
          </w:p>
        </w:tc>
        <w:tc>
          <w:tcPr>
            <w:tcW w:w="2786" w:type="dxa"/>
            <w:tcBorders>
              <w:lef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护理（普通中专）</w:t>
            </w:r>
          </w:p>
        </w:tc>
        <w:tc>
          <w:tcPr>
            <w:tcW w:w="2551" w:type="dxa"/>
            <w:tcBorders>
              <w:righ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222</w:t>
            </w:r>
          </w:p>
        </w:tc>
        <w:tc>
          <w:tcPr>
            <w:tcW w:w="2786" w:type="dxa"/>
            <w:tcBorders>
              <w:lef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医学影像技术（普通中专）</w:t>
            </w:r>
          </w:p>
        </w:tc>
        <w:tc>
          <w:tcPr>
            <w:tcW w:w="2551" w:type="dxa"/>
            <w:tcBorders>
              <w:righ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62</w:t>
            </w:r>
          </w:p>
        </w:tc>
        <w:tc>
          <w:tcPr>
            <w:tcW w:w="2786" w:type="dxa"/>
            <w:tcBorders>
              <w:lef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药剂（普通中专）</w:t>
            </w:r>
          </w:p>
        </w:tc>
        <w:tc>
          <w:tcPr>
            <w:tcW w:w="2551" w:type="dxa"/>
            <w:tcBorders>
              <w:righ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w:t>
            </w:r>
          </w:p>
        </w:tc>
        <w:tc>
          <w:tcPr>
            <w:tcW w:w="2786" w:type="dxa"/>
            <w:tcBorders>
              <w:lef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医学检验</w:t>
            </w:r>
            <w:r>
              <w:rPr>
                <w:rFonts w:ascii="仿宋" w:hAnsi="仿宋" w:eastAsia="仿宋" w:cs="宋体"/>
                <w:color w:val="auto"/>
                <w:sz w:val="24"/>
              </w:rPr>
              <w:t>（</w:t>
            </w:r>
            <w:r>
              <w:rPr>
                <w:rFonts w:hint="eastAsia" w:ascii="仿宋" w:hAnsi="仿宋" w:eastAsia="仿宋" w:cs="宋体"/>
                <w:color w:val="auto"/>
                <w:sz w:val="24"/>
              </w:rPr>
              <w:t>普通中专</w:t>
            </w:r>
            <w:r>
              <w:rPr>
                <w:rFonts w:ascii="仿宋" w:hAnsi="仿宋" w:eastAsia="仿宋" w:cs="宋体"/>
                <w:color w:val="auto"/>
                <w:sz w:val="24"/>
              </w:rPr>
              <w:t>）</w:t>
            </w:r>
          </w:p>
        </w:tc>
        <w:tc>
          <w:tcPr>
            <w:tcW w:w="2551" w:type="dxa"/>
            <w:tcBorders>
              <w:righ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w:t>
            </w:r>
          </w:p>
        </w:tc>
        <w:tc>
          <w:tcPr>
            <w:tcW w:w="2786" w:type="dxa"/>
            <w:tcBorders>
              <w:lef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助产</w:t>
            </w:r>
            <w:r>
              <w:rPr>
                <w:rFonts w:ascii="仿宋" w:hAnsi="仿宋" w:eastAsia="仿宋" w:cs="宋体"/>
                <w:color w:val="auto"/>
                <w:sz w:val="24"/>
              </w:rPr>
              <w:t>（</w:t>
            </w:r>
            <w:r>
              <w:rPr>
                <w:rFonts w:hint="eastAsia" w:ascii="仿宋" w:hAnsi="仿宋" w:eastAsia="仿宋" w:cs="宋体"/>
                <w:color w:val="auto"/>
                <w:sz w:val="24"/>
              </w:rPr>
              <w:t>普通中专</w:t>
            </w:r>
            <w:r>
              <w:rPr>
                <w:rFonts w:ascii="仿宋" w:hAnsi="仿宋" w:eastAsia="仿宋" w:cs="宋体"/>
                <w:color w:val="auto"/>
                <w:sz w:val="24"/>
              </w:rPr>
              <w:t>）</w:t>
            </w:r>
          </w:p>
        </w:tc>
        <w:tc>
          <w:tcPr>
            <w:tcW w:w="2551" w:type="dxa"/>
            <w:tcBorders>
              <w:righ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w:t>
            </w:r>
          </w:p>
        </w:tc>
        <w:tc>
          <w:tcPr>
            <w:tcW w:w="2786" w:type="dxa"/>
            <w:tcBorders>
              <w:lef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color w:val="auto"/>
                <w:sz w:val="24"/>
              </w:rPr>
            </w:pPr>
            <w:r>
              <w:rPr>
                <w:rFonts w:hint="eastAsia" w:ascii="仿宋" w:hAnsi="仿宋" w:eastAsia="仿宋" w:cs="宋体"/>
                <w:color w:val="auto"/>
                <w:sz w:val="24"/>
              </w:rPr>
              <w:t>合          计</w:t>
            </w:r>
          </w:p>
        </w:tc>
        <w:tc>
          <w:tcPr>
            <w:tcW w:w="2551" w:type="dxa"/>
            <w:tcBorders>
              <w:righ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863</w:t>
            </w:r>
          </w:p>
        </w:tc>
        <w:tc>
          <w:tcPr>
            <w:tcW w:w="2786" w:type="dxa"/>
            <w:tcBorders>
              <w:left w:val="single" w:color="auto" w:sz="4" w:space="0"/>
            </w:tcBorders>
            <w:vAlign w:val="center"/>
          </w:tcPr>
          <w:p>
            <w:pPr>
              <w:ind w:firstLine="1560" w:firstLineChars="650"/>
              <w:rPr>
                <w:rFonts w:hint="eastAsia" w:ascii="仿宋" w:hAnsi="仿宋" w:eastAsia="仿宋" w:cs="宋体"/>
                <w:color w:val="auto"/>
                <w:sz w:val="24"/>
              </w:rPr>
            </w:pPr>
            <w:r>
              <w:rPr>
                <w:rFonts w:hint="eastAsia" w:ascii="仿宋" w:hAnsi="仿宋" w:eastAsia="仿宋" w:cs="宋体"/>
                <w:color w:val="auto"/>
                <w:sz w:val="24"/>
              </w:rPr>
              <w:t>853</w:t>
            </w:r>
          </w:p>
        </w:tc>
      </w:tr>
    </w:tbl>
    <w:p>
      <w:pPr>
        <w:pStyle w:val="3"/>
        <w:keepNext w:val="0"/>
        <w:keepLines w:val="0"/>
        <w:adjustRightInd w:val="0"/>
        <w:spacing w:line="360" w:lineRule="auto"/>
        <w:ind w:firstLine="280" w:firstLineChars="100"/>
        <w:rPr>
          <w:b w:val="0"/>
          <w:color w:val="auto"/>
          <w:sz w:val="28"/>
          <w:szCs w:val="28"/>
        </w:rPr>
      </w:pPr>
      <w:bookmarkStart w:id="7" w:name="_Toc471905904"/>
      <w:r>
        <w:rPr>
          <w:rFonts w:hint="eastAsia"/>
          <w:b w:val="0"/>
          <w:color w:val="auto"/>
          <w:sz w:val="28"/>
          <w:szCs w:val="28"/>
        </w:rPr>
        <w:t>1.3教师队伍</w:t>
      </w:r>
      <w:bookmarkEnd w:id="7"/>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截至201</w:t>
      </w:r>
      <w:r>
        <w:rPr>
          <w:rFonts w:cs="宋体" w:asciiTheme="minorEastAsia" w:hAnsiTheme="minorEastAsia" w:eastAsiaTheme="minorEastAsia"/>
          <w:color w:val="auto"/>
          <w:kern w:val="0"/>
          <w:sz w:val="24"/>
        </w:rPr>
        <w:t>7</w:t>
      </w:r>
      <w:r>
        <w:rPr>
          <w:rFonts w:hint="eastAsia" w:cs="宋体" w:asciiTheme="minorEastAsia" w:hAnsiTheme="minorEastAsia" w:eastAsiaTheme="minorEastAsia"/>
          <w:color w:val="auto"/>
          <w:kern w:val="0"/>
          <w:sz w:val="24"/>
        </w:rPr>
        <w:t>年12月，学校教师总数为210人，其中专任教师17</w:t>
      </w:r>
      <w:r>
        <w:rPr>
          <w:rFonts w:cs="宋体" w:asciiTheme="minorEastAsia" w:hAnsiTheme="minorEastAsia" w:eastAsiaTheme="minorEastAsia"/>
          <w:color w:val="auto"/>
          <w:kern w:val="0"/>
          <w:sz w:val="24"/>
        </w:rPr>
        <w:t>8</w:t>
      </w:r>
      <w:r>
        <w:rPr>
          <w:rFonts w:hint="eastAsia" w:cs="宋体" w:asciiTheme="minorEastAsia" w:hAnsiTheme="minorEastAsia" w:eastAsiaTheme="minorEastAsia"/>
          <w:color w:val="auto"/>
          <w:kern w:val="0"/>
          <w:sz w:val="24"/>
        </w:rPr>
        <w:t>人，外聘兼职教师3</w:t>
      </w:r>
      <w:r>
        <w:rPr>
          <w:rFonts w:cs="宋体" w:asciiTheme="minorEastAsia" w:hAnsiTheme="minorEastAsia" w:eastAsiaTheme="minorEastAsia"/>
          <w:color w:val="auto"/>
          <w:kern w:val="0"/>
          <w:sz w:val="24"/>
        </w:rPr>
        <w:t>2</w:t>
      </w:r>
      <w:r>
        <w:rPr>
          <w:rFonts w:hint="eastAsia" w:cs="宋体" w:asciiTheme="minorEastAsia" w:hAnsiTheme="minorEastAsia" w:eastAsiaTheme="minorEastAsia"/>
          <w:color w:val="auto"/>
          <w:kern w:val="0"/>
          <w:sz w:val="24"/>
        </w:rPr>
        <w:t>人。专任教师与全日制学历教育在校生（</w:t>
      </w:r>
      <w:r>
        <w:rPr>
          <w:rFonts w:hint="eastAsia" w:cs="宋体" w:asciiTheme="minorEastAsia" w:hAnsiTheme="minorEastAsia" w:eastAsiaTheme="minorEastAsia"/>
          <w:color w:val="auto"/>
          <w:kern w:val="0"/>
          <w:sz w:val="24"/>
          <w:lang w:val="en-US" w:eastAsia="zh-CN"/>
        </w:rPr>
        <w:t>2925</w:t>
      </w:r>
      <w:r>
        <w:rPr>
          <w:rFonts w:hint="eastAsia" w:cs="宋体" w:asciiTheme="minorEastAsia" w:hAnsiTheme="minorEastAsia" w:eastAsiaTheme="minorEastAsia"/>
          <w:color w:val="auto"/>
          <w:kern w:val="0"/>
          <w:sz w:val="24"/>
        </w:rPr>
        <w:t>名）的比例为1：1</w:t>
      </w:r>
      <w:r>
        <w:rPr>
          <w:rFonts w:hint="eastAsia" w:cs="宋体" w:asciiTheme="minorEastAsia" w:hAnsiTheme="minorEastAsia" w:eastAsiaTheme="minorEastAsia"/>
          <w:color w:val="auto"/>
          <w:kern w:val="0"/>
          <w:sz w:val="24"/>
          <w:lang w:val="en-US" w:eastAsia="zh-CN"/>
        </w:rPr>
        <w:t>6</w:t>
      </w:r>
      <w:r>
        <w:rPr>
          <w:rFonts w:hint="eastAsia" w:cs="宋体" w:asciiTheme="minorEastAsia" w:hAnsiTheme="minorEastAsia" w:eastAsiaTheme="minorEastAsia"/>
          <w:color w:val="auto"/>
          <w:kern w:val="0"/>
          <w:sz w:val="24"/>
        </w:rPr>
        <w:t>.4</w:t>
      </w:r>
      <w:r>
        <w:rPr>
          <w:rFonts w:hint="eastAsia" w:cs="宋体" w:asciiTheme="minorEastAsia" w:hAnsiTheme="minorEastAsia" w:eastAsiaTheme="minorEastAsia"/>
          <w:color w:val="auto"/>
          <w:kern w:val="0"/>
          <w:sz w:val="24"/>
          <w:lang w:val="en-US" w:eastAsia="zh-CN"/>
        </w:rPr>
        <w:t>3</w:t>
      </w:r>
      <w:r>
        <w:rPr>
          <w:rFonts w:hint="eastAsia" w:cs="宋体" w:asciiTheme="minorEastAsia" w:hAnsiTheme="minorEastAsia" w:eastAsiaTheme="minorEastAsia"/>
          <w:color w:val="auto"/>
          <w:kern w:val="0"/>
          <w:sz w:val="24"/>
        </w:rPr>
        <w:t>；专任教师中专业课教师140人，占专任教师的78.</w:t>
      </w:r>
      <w:r>
        <w:rPr>
          <w:rFonts w:cs="宋体" w:asciiTheme="minorEastAsia" w:hAnsiTheme="minorEastAsia" w:eastAsiaTheme="minorEastAsia"/>
          <w:color w:val="auto"/>
          <w:kern w:val="0"/>
          <w:sz w:val="24"/>
        </w:rPr>
        <w:t>6</w:t>
      </w:r>
      <w:r>
        <w:rPr>
          <w:rFonts w:hint="eastAsia" w:cs="宋体" w:asciiTheme="minorEastAsia" w:hAnsiTheme="minorEastAsia" w:eastAsiaTheme="minorEastAsia"/>
          <w:color w:val="auto"/>
          <w:kern w:val="0"/>
          <w:sz w:val="24"/>
        </w:rPr>
        <w:t>%，大学本科及以上学历177名，占专任教师的9</w:t>
      </w:r>
      <w:r>
        <w:rPr>
          <w:rFonts w:cs="宋体" w:asciiTheme="minorEastAsia" w:hAnsiTheme="minorEastAsia" w:eastAsiaTheme="minorEastAsia"/>
          <w:color w:val="auto"/>
          <w:kern w:val="0"/>
          <w:sz w:val="24"/>
        </w:rPr>
        <w:t>9</w:t>
      </w:r>
      <w:r>
        <w:rPr>
          <w:rFonts w:hint="eastAsia" w:cs="宋体" w:asciiTheme="minorEastAsia" w:hAnsiTheme="minorEastAsia" w:eastAsiaTheme="minorEastAsia"/>
          <w:color w:val="auto"/>
          <w:kern w:val="0"/>
          <w:sz w:val="24"/>
        </w:rPr>
        <w:t>.</w:t>
      </w:r>
      <w:r>
        <w:rPr>
          <w:rFonts w:cs="宋体" w:asciiTheme="minorEastAsia" w:hAnsiTheme="minorEastAsia" w:eastAsiaTheme="minorEastAsia"/>
          <w:color w:val="auto"/>
          <w:kern w:val="0"/>
          <w:sz w:val="24"/>
        </w:rPr>
        <w:t>4</w:t>
      </w:r>
      <w:r>
        <w:rPr>
          <w:rFonts w:hint="eastAsia" w:cs="宋体" w:asciiTheme="minorEastAsia" w:hAnsiTheme="minorEastAsia" w:eastAsiaTheme="minorEastAsia"/>
          <w:color w:val="auto"/>
          <w:kern w:val="0"/>
          <w:sz w:val="24"/>
        </w:rPr>
        <w:t>%，中级以上职称 126人，占专任教师的70.4%，高级职称72人，占40.</w:t>
      </w:r>
      <w:r>
        <w:rPr>
          <w:rFonts w:cs="宋体" w:asciiTheme="minorEastAsia" w:hAnsiTheme="minorEastAsia" w:eastAsiaTheme="minorEastAsia"/>
          <w:color w:val="auto"/>
          <w:kern w:val="0"/>
          <w:sz w:val="24"/>
        </w:rPr>
        <w:t>4</w:t>
      </w:r>
      <w:r>
        <w:rPr>
          <w:rFonts w:hint="eastAsia" w:cs="宋体" w:asciiTheme="minorEastAsia" w:hAnsiTheme="minorEastAsia" w:eastAsiaTheme="minorEastAsia"/>
          <w:color w:val="auto"/>
          <w:kern w:val="0"/>
          <w:sz w:val="24"/>
        </w:rPr>
        <w:t>%；市级以上名优教师4</w:t>
      </w:r>
      <w:r>
        <w:rPr>
          <w:rFonts w:cs="宋体" w:asciiTheme="minorEastAsia" w:hAnsiTheme="minorEastAsia" w:eastAsiaTheme="minorEastAsia"/>
          <w:color w:val="auto"/>
          <w:kern w:val="0"/>
          <w:sz w:val="24"/>
        </w:rPr>
        <w:t>5</w:t>
      </w:r>
      <w:r>
        <w:rPr>
          <w:rFonts w:hint="eastAsia" w:cs="宋体" w:asciiTheme="minorEastAsia" w:hAnsiTheme="minorEastAsia" w:eastAsiaTheme="minorEastAsia"/>
          <w:color w:val="auto"/>
          <w:kern w:val="0"/>
          <w:sz w:val="24"/>
        </w:rPr>
        <w:t>人，其中嘉兴市名师1人，嘉兴市学科教学带头人2人，嘉</w:t>
      </w:r>
      <w:r>
        <w:rPr>
          <w:rFonts w:cs="宋体" w:asciiTheme="minorEastAsia" w:hAnsiTheme="minorEastAsia" w:eastAsiaTheme="minorEastAsia"/>
          <w:color w:val="auto"/>
          <w:kern w:val="0"/>
          <w:sz w:val="24"/>
        </w:rPr>
        <w:t>兴</w:t>
      </w:r>
      <w:r>
        <w:rPr>
          <w:rFonts w:hint="eastAsia" w:cs="宋体" w:asciiTheme="minorEastAsia" w:hAnsiTheme="minorEastAsia" w:eastAsiaTheme="minorEastAsia"/>
          <w:color w:val="auto"/>
          <w:kern w:val="0"/>
          <w:sz w:val="24"/>
        </w:rPr>
        <w:t>市名校长1人，海宁市名师2人，海宁市学科教学带头人9人，海宁市骨干教师2</w:t>
      </w:r>
      <w:r>
        <w:rPr>
          <w:rFonts w:cs="宋体" w:asciiTheme="minorEastAsia" w:hAnsiTheme="minorEastAsia" w:eastAsiaTheme="minorEastAsia"/>
          <w:color w:val="auto"/>
          <w:kern w:val="0"/>
          <w:sz w:val="24"/>
        </w:rPr>
        <w:t>2</w:t>
      </w:r>
      <w:r>
        <w:rPr>
          <w:rFonts w:hint="eastAsia" w:cs="宋体" w:asciiTheme="minorEastAsia" w:hAnsiTheme="minorEastAsia" w:eastAsiaTheme="minorEastAsia"/>
          <w:color w:val="auto"/>
          <w:kern w:val="0"/>
          <w:sz w:val="24"/>
        </w:rPr>
        <w:t>人，海宁市职业教育专业带头人8人。</w:t>
      </w:r>
    </w:p>
    <w:p>
      <w:pPr>
        <w:spacing w:line="360" w:lineRule="auto"/>
        <w:ind w:firstLine="241" w:firstLineChars="100"/>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表3：</w:t>
      </w:r>
      <w:r>
        <w:rPr>
          <w:rFonts w:hint="eastAsia" w:cs="宋体" w:asciiTheme="minorEastAsia" w:hAnsiTheme="minorEastAsia" w:eastAsiaTheme="minorEastAsia"/>
          <w:b/>
          <w:color w:val="auto"/>
          <w:kern w:val="0"/>
          <w:sz w:val="24"/>
          <w:lang w:eastAsia="zh-CN"/>
        </w:rPr>
        <w:t>2017</w:t>
      </w:r>
      <w:r>
        <w:rPr>
          <w:rFonts w:hint="eastAsia" w:cs="宋体" w:asciiTheme="minorEastAsia" w:hAnsiTheme="minorEastAsia" w:eastAsiaTheme="minorEastAsia"/>
          <w:b/>
          <w:color w:val="auto"/>
          <w:kern w:val="0"/>
          <w:sz w:val="24"/>
        </w:rPr>
        <w:t>、201</w:t>
      </w:r>
      <w:r>
        <w:rPr>
          <w:rFonts w:hint="eastAsia" w:cs="宋体" w:asciiTheme="minorEastAsia" w:hAnsiTheme="minorEastAsia" w:eastAsiaTheme="minorEastAsia"/>
          <w:b/>
          <w:color w:val="auto"/>
          <w:kern w:val="0"/>
          <w:sz w:val="24"/>
          <w:lang w:val="en-US" w:eastAsia="zh-CN"/>
        </w:rPr>
        <w:t>6</w:t>
      </w:r>
      <w:r>
        <w:rPr>
          <w:rFonts w:hint="eastAsia" w:cs="宋体" w:asciiTheme="minorEastAsia" w:hAnsiTheme="minorEastAsia" w:eastAsiaTheme="minorEastAsia"/>
          <w:b/>
          <w:color w:val="auto"/>
          <w:kern w:val="0"/>
          <w:sz w:val="24"/>
        </w:rPr>
        <w:t>年度师资队伍结构情况比对表</w:t>
      </w:r>
    </w:p>
    <w:tbl>
      <w:tblPr>
        <w:tblStyle w:val="14"/>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3"/>
        <w:gridCol w:w="2836"/>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trPr>
        <w:tc>
          <w:tcPr>
            <w:tcW w:w="4253" w:type="dxa"/>
            <w:vAlign w:val="center"/>
          </w:tcPr>
          <w:p>
            <w:pPr>
              <w:jc w:val="center"/>
              <w:rPr>
                <w:rFonts w:ascii="仿宋" w:hAnsi="仿宋" w:eastAsia="仿宋"/>
                <w:color w:val="auto"/>
                <w:sz w:val="24"/>
              </w:rPr>
            </w:pPr>
            <w:r>
              <w:rPr>
                <w:rFonts w:hint="eastAsia" w:ascii="仿宋" w:hAnsi="仿宋" w:eastAsia="仿宋"/>
                <w:color w:val="auto"/>
                <w:sz w:val="24"/>
              </w:rPr>
              <w:t>指   标</w:t>
            </w:r>
          </w:p>
        </w:tc>
        <w:tc>
          <w:tcPr>
            <w:tcW w:w="2836" w:type="dxa"/>
            <w:tcBorders>
              <w:left w:val="single" w:color="auto" w:sz="4" w:space="0"/>
            </w:tcBorders>
            <w:vAlign w:val="center"/>
          </w:tcPr>
          <w:p>
            <w:pPr>
              <w:jc w:val="center"/>
              <w:rPr>
                <w:rFonts w:ascii="仿宋" w:hAnsi="仿宋" w:eastAsia="仿宋"/>
                <w:color w:val="auto"/>
                <w:sz w:val="24"/>
              </w:rPr>
            </w:pPr>
            <w:r>
              <w:rPr>
                <w:rFonts w:ascii="仿宋" w:hAnsi="仿宋" w:eastAsia="仿宋"/>
                <w:color w:val="auto"/>
                <w:sz w:val="24"/>
              </w:rPr>
              <w:t>201</w:t>
            </w:r>
            <w:r>
              <w:rPr>
                <w:rFonts w:hint="eastAsia" w:ascii="仿宋" w:hAnsi="仿宋" w:eastAsia="仿宋"/>
                <w:color w:val="auto"/>
                <w:sz w:val="24"/>
                <w:lang w:val="en-US" w:eastAsia="zh-CN"/>
              </w:rPr>
              <w:t>6</w:t>
            </w:r>
            <w:r>
              <w:rPr>
                <w:rFonts w:hint="eastAsia" w:ascii="仿宋" w:hAnsi="仿宋" w:eastAsia="仿宋"/>
                <w:color w:val="auto"/>
                <w:sz w:val="24"/>
              </w:rPr>
              <w:t>年</w:t>
            </w:r>
          </w:p>
        </w:tc>
        <w:tc>
          <w:tcPr>
            <w:tcW w:w="2550" w:type="dxa"/>
            <w:vAlign w:val="center"/>
          </w:tcPr>
          <w:p>
            <w:pPr>
              <w:jc w:val="center"/>
              <w:rPr>
                <w:rFonts w:ascii="仿宋" w:hAnsi="仿宋" w:eastAsia="仿宋"/>
                <w:color w:val="auto"/>
                <w:sz w:val="24"/>
              </w:rPr>
            </w:pPr>
            <w:r>
              <w:rPr>
                <w:rFonts w:hint="eastAsia" w:ascii="仿宋" w:hAnsi="仿宋" w:eastAsia="仿宋"/>
                <w:color w:val="auto"/>
                <w:sz w:val="24"/>
                <w:lang w:eastAsia="zh-CN"/>
              </w:rPr>
              <w:t>2017</w:t>
            </w:r>
            <w:r>
              <w:rPr>
                <w:rFonts w:hint="eastAsia" w:ascii="仿宋" w:hAnsi="仿宋" w:eastAsia="仿宋"/>
                <w:color w:val="auto"/>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4253" w:type="dxa"/>
            <w:vAlign w:val="center"/>
          </w:tcPr>
          <w:p>
            <w:pPr>
              <w:jc w:val="center"/>
              <w:rPr>
                <w:rFonts w:ascii="仿宋" w:hAnsi="仿宋" w:eastAsia="仿宋"/>
                <w:color w:val="auto"/>
                <w:sz w:val="24"/>
              </w:rPr>
            </w:pPr>
            <w:r>
              <w:rPr>
                <w:rFonts w:hint="eastAsia" w:ascii="仿宋" w:hAnsi="仿宋" w:eastAsia="仿宋"/>
                <w:color w:val="auto"/>
                <w:sz w:val="24"/>
              </w:rPr>
              <w:t>生师比</w:t>
            </w:r>
          </w:p>
        </w:tc>
        <w:tc>
          <w:tcPr>
            <w:tcW w:w="2836" w:type="dxa"/>
            <w:tcBorders>
              <w:lef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15.45：1</w:t>
            </w:r>
          </w:p>
        </w:tc>
        <w:tc>
          <w:tcPr>
            <w:tcW w:w="2550" w:type="dxa"/>
            <w:vAlign w:val="center"/>
          </w:tcPr>
          <w:p>
            <w:pPr>
              <w:jc w:val="center"/>
              <w:rPr>
                <w:rFonts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lang w:val="en-US" w:eastAsia="zh-CN"/>
              </w:rPr>
              <w:t>6</w:t>
            </w:r>
            <w:r>
              <w:rPr>
                <w:rFonts w:hint="eastAsia" w:ascii="仿宋" w:hAnsi="仿宋" w:eastAsia="仿宋"/>
                <w:color w:val="auto"/>
                <w:sz w:val="24"/>
              </w:rPr>
              <w:t>.4</w:t>
            </w:r>
            <w:r>
              <w:rPr>
                <w:rFonts w:hint="eastAsia" w:ascii="仿宋" w:hAnsi="仿宋" w:eastAsia="仿宋"/>
                <w:color w:val="auto"/>
                <w:sz w:val="24"/>
                <w:lang w:val="en-US" w:eastAsia="zh-CN"/>
              </w:rPr>
              <w:t>3</w:t>
            </w:r>
            <w:r>
              <w:rPr>
                <w:rFonts w:hint="eastAsia" w:ascii="仿宋" w:hAnsi="仿宋" w:eastAsia="仿宋"/>
                <w:color w:val="auto"/>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6" w:hRule="atLeast"/>
        </w:trPr>
        <w:tc>
          <w:tcPr>
            <w:tcW w:w="4253" w:type="dxa"/>
            <w:vAlign w:val="center"/>
          </w:tcPr>
          <w:p>
            <w:pPr>
              <w:jc w:val="center"/>
              <w:rPr>
                <w:rFonts w:ascii="仿宋" w:hAnsi="仿宋" w:eastAsia="仿宋"/>
                <w:color w:val="auto"/>
                <w:sz w:val="24"/>
              </w:rPr>
            </w:pPr>
            <w:r>
              <w:rPr>
                <w:rFonts w:hint="eastAsia" w:ascii="仿宋" w:hAnsi="仿宋" w:eastAsia="仿宋"/>
                <w:color w:val="auto"/>
                <w:sz w:val="24"/>
              </w:rPr>
              <w:t>专业教师“双师型”比例</w:t>
            </w:r>
          </w:p>
        </w:tc>
        <w:tc>
          <w:tcPr>
            <w:tcW w:w="2836" w:type="dxa"/>
            <w:tcBorders>
              <w:lef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93.6%</w:t>
            </w:r>
          </w:p>
        </w:tc>
        <w:tc>
          <w:tcPr>
            <w:tcW w:w="2550" w:type="dxa"/>
            <w:vAlign w:val="center"/>
          </w:tcPr>
          <w:p>
            <w:pPr>
              <w:jc w:val="center"/>
              <w:rPr>
                <w:rFonts w:ascii="仿宋" w:hAnsi="仿宋" w:eastAsia="仿宋"/>
                <w:color w:val="auto"/>
                <w:sz w:val="24"/>
              </w:rPr>
            </w:pPr>
            <w:r>
              <w:rPr>
                <w:rFonts w:hint="eastAsia" w:ascii="仿宋" w:hAnsi="仿宋" w:eastAsia="仿宋"/>
                <w:color w:val="auto"/>
                <w:sz w:val="24"/>
              </w:rPr>
              <w:t>9</w:t>
            </w:r>
            <w:r>
              <w:rPr>
                <w:rFonts w:ascii="仿宋" w:hAnsi="仿宋" w:eastAsia="仿宋"/>
                <w:color w:val="auto"/>
                <w:sz w:val="24"/>
              </w:rPr>
              <w:t>2</w:t>
            </w:r>
            <w:r>
              <w:rPr>
                <w:rFonts w:hint="eastAsia" w:ascii="仿宋" w:hAnsi="仿宋" w:eastAsia="仿宋"/>
                <w:color w:val="auto"/>
                <w:sz w:val="24"/>
              </w:rPr>
              <w:t>.</w:t>
            </w:r>
            <w:r>
              <w:rPr>
                <w:rFonts w:ascii="仿宋" w:hAnsi="仿宋" w:eastAsia="仿宋"/>
                <w:color w:val="auto"/>
                <w:sz w:val="24"/>
              </w:rPr>
              <w:t>1</w:t>
            </w:r>
            <w:r>
              <w:rPr>
                <w:rFonts w:hint="eastAsia" w:ascii="仿宋" w:hAnsi="仿宋" w:eastAsia="仿宋"/>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4253" w:type="dxa"/>
            <w:vAlign w:val="center"/>
          </w:tcPr>
          <w:p>
            <w:pPr>
              <w:jc w:val="center"/>
              <w:rPr>
                <w:rFonts w:ascii="仿宋" w:hAnsi="仿宋" w:eastAsia="仿宋"/>
                <w:color w:val="auto"/>
                <w:sz w:val="24"/>
              </w:rPr>
            </w:pPr>
            <w:r>
              <w:rPr>
                <w:rFonts w:hint="eastAsia" w:ascii="仿宋" w:hAnsi="仿宋" w:eastAsia="仿宋"/>
                <w:color w:val="auto"/>
                <w:sz w:val="24"/>
              </w:rPr>
              <w:t>兼职教师比例</w:t>
            </w:r>
          </w:p>
        </w:tc>
        <w:tc>
          <w:tcPr>
            <w:tcW w:w="2836" w:type="dxa"/>
            <w:tcBorders>
              <w:lef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17.3%</w:t>
            </w:r>
          </w:p>
        </w:tc>
        <w:tc>
          <w:tcPr>
            <w:tcW w:w="2550" w:type="dxa"/>
            <w:vAlign w:val="center"/>
          </w:tcPr>
          <w:p>
            <w:pPr>
              <w:jc w:val="center"/>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7.4</w:t>
            </w:r>
            <w:r>
              <w:rPr>
                <w:rFonts w:hint="eastAsia" w:ascii="仿宋" w:hAnsi="仿宋" w:eastAsia="仿宋"/>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4253" w:type="dxa"/>
            <w:vAlign w:val="center"/>
          </w:tcPr>
          <w:p>
            <w:pPr>
              <w:jc w:val="center"/>
              <w:rPr>
                <w:rFonts w:ascii="仿宋" w:hAnsi="仿宋" w:eastAsia="仿宋"/>
                <w:color w:val="auto"/>
                <w:sz w:val="24"/>
              </w:rPr>
            </w:pPr>
            <w:r>
              <w:rPr>
                <w:rFonts w:hint="eastAsia" w:ascii="仿宋" w:hAnsi="仿宋" w:eastAsia="仿宋"/>
                <w:color w:val="auto"/>
                <w:sz w:val="24"/>
              </w:rPr>
              <w:t>专任教师本科以上学历比例</w:t>
            </w:r>
          </w:p>
        </w:tc>
        <w:tc>
          <w:tcPr>
            <w:tcW w:w="2836" w:type="dxa"/>
            <w:tcBorders>
              <w:lef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98.8%</w:t>
            </w:r>
          </w:p>
        </w:tc>
        <w:tc>
          <w:tcPr>
            <w:tcW w:w="2550" w:type="dxa"/>
            <w:vAlign w:val="center"/>
          </w:tcPr>
          <w:p>
            <w:pPr>
              <w:jc w:val="center"/>
              <w:rPr>
                <w:rFonts w:ascii="仿宋" w:hAnsi="仿宋" w:eastAsia="仿宋"/>
                <w:color w:val="auto"/>
                <w:sz w:val="24"/>
              </w:rPr>
            </w:pPr>
            <w:r>
              <w:rPr>
                <w:rFonts w:hint="eastAsia" w:ascii="仿宋" w:hAnsi="仿宋" w:eastAsia="仿宋"/>
                <w:color w:val="auto"/>
                <w:sz w:val="24"/>
              </w:rPr>
              <w:t>9</w:t>
            </w:r>
            <w:r>
              <w:rPr>
                <w:rFonts w:ascii="仿宋" w:hAnsi="仿宋" w:eastAsia="仿宋"/>
                <w:color w:val="auto"/>
                <w:sz w:val="24"/>
              </w:rPr>
              <w:t>9</w:t>
            </w:r>
            <w:r>
              <w:rPr>
                <w:rFonts w:hint="eastAsia" w:ascii="仿宋" w:hAnsi="仿宋" w:eastAsia="仿宋"/>
                <w:color w:val="auto"/>
                <w:sz w:val="24"/>
              </w:rPr>
              <w:t>.</w:t>
            </w:r>
            <w:r>
              <w:rPr>
                <w:rFonts w:ascii="仿宋" w:hAnsi="仿宋" w:eastAsia="仿宋"/>
                <w:color w:val="auto"/>
                <w:sz w:val="24"/>
              </w:rPr>
              <w:t>4</w:t>
            </w:r>
            <w:r>
              <w:rPr>
                <w:rFonts w:hint="eastAsia" w:ascii="仿宋" w:hAnsi="仿宋" w:eastAsia="仿宋"/>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6" w:hRule="atLeast"/>
        </w:trPr>
        <w:tc>
          <w:tcPr>
            <w:tcW w:w="4253" w:type="dxa"/>
            <w:vAlign w:val="center"/>
          </w:tcPr>
          <w:p>
            <w:pPr>
              <w:jc w:val="center"/>
              <w:rPr>
                <w:rFonts w:ascii="仿宋" w:hAnsi="仿宋" w:eastAsia="仿宋"/>
                <w:color w:val="auto"/>
                <w:sz w:val="24"/>
              </w:rPr>
            </w:pPr>
            <w:r>
              <w:rPr>
                <w:rFonts w:hint="eastAsia" w:ascii="仿宋" w:hAnsi="仿宋" w:eastAsia="仿宋"/>
                <w:color w:val="auto"/>
                <w:sz w:val="24"/>
              </w:rPr>
              <w:t>专任教师硕士以上学历比例</w:t>
            </w:r>
          </w:p>
        </w:tc>
        <w:tc>
          <w:tcPr>
            <w:tcW w:w="2836" w:type="dxa"/>
            <w:tcBorders>
              <w:lef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15.5%</w:t>
            </w:r>
          </w:p>
        </w:tc>
        <w:tc>
          <w:tcPr>
            <w:tcW w:w="2550" w:type="dxa"/>
            <w:vAlign w:val="center"/>
          </w:tcPr>
          <w:p>
            <w:pPr>
              <w:jc w:val="center"/>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6.3</w:t>
            </w:r>
            <w:r>
              <w:rPr>
                <w:rFonts w:hint="eastAsia" w:ascii="仿宋" w:hAnsi="仿宋" w:eastAsia="仿宋"/>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6" w:hRule="atLeast"/>
        </w:trPr>
        <w:tc>
          <w:tcPr>
            <w:tcW w:w="4253" w:type="dxa"/>
            <w:vAlign w:val="center"/>
          </w:tcPr>
          <w:p>
            <w:pPr>
              <w:jc w:val="center"/>
              <w:rPr>
                <w:rFonts w:ascii="仿宋" w:hAnsi="仿宋" w:eastAsia="仿宋"/>
                <w:color w:val="auto"/>
                <w:sz w:val="24"/>
              </w:rPr>
            </w:pPr>
            <w:r>
              <w:rPr>
                <w:rFonts w:hint="eastAsia" w:ascii="仿宋" w:hAnsi="仿宋" w:eastAsia="仿宋"/>
                <w:color w:val="auto"/>
                <w:sz w:val="24"/>
              </w:rPr>
              <w:t>专任教师高级职称比例</w:t>
            </w:r>
          </w:p>
        </w:tc>
        <w:tc>
          <w:tcPr>
            <w:tcW w:w="2836" w:type="dxa"/>
            <w:tcBorders>
              <w:lef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40.2%</w:t>
            </w:r>
          </w:p>
        </w:tc>
        <w:tc>
          <w:tcPr>
            <w:tcW w:w="2550" w:type="dxa"/>
            <w:vAlign w:val="center"/>
          </w:tcPr>
          <w:p>
            <w:pPr>
              <w:jc w:val="center"/>
              <w:rPr>
                <w:rFonts w:ascii="仿宋" w:hAnsi="仿宋" w:eastAsia="仿宋"/>
                <w:color w:val="auto"/>
                <w:sz w:val="24"/>
              </w:rPr>
            </w:pPr>
            <w:r>
              <w:rPr>
                <w:rFonts w:hint="eastAsia" w:ascii="仿宋" w:hAnsi="仿宋" w:eastAsia="仿宋"/>
                <w:color w:val="auto"/>
                <w:sz w:val="24"/>
              </w:rPr>
              <w:t>40.</w:t>
            </w:r>
            <w:r>
              <w:rPr>
                <w:rFonts w:ascii="仿宋" w:hAnsi="仿宋" w:eastAsia="仿宋"/>
                <w:color w:val="auto"/>
                <w:sz w:val="24"/>
              </w:rPr>
              <w:t>4</w:t>
            </w:r>
            <w:r>
              <w:rPr>
                <w:rFonts w:hint="eastAsia" w:ascii="仿宋" w:hAnsi="仿宋" w:eastAsia="仿宋"/>
                <w:color w:val="auto"/>
                <w:sz w:val="24"/>
              </w:rPr>
              <w:t>%</w:t>
            </w:r>
          </w:p>
        </w:tc>
      </w:tr>
    </w:tbl>
    <w:p>
      <w:pPr>
        <w:pStyle w:val="3"/>
        <w:keepNext w:val="0"/>
        <w:keepLines w:val="0"/>
        <w:adjustRightInd w:val="0"/>
        <w:spacing w:line="360" w:lineRule="auto"/>
        <w:ind w:firstLine="280" w:firstLineChars="100"/>
        <w:rPr>
          <w:b w:val="0"/>
          <w:color w:val="auto"/>
          <w:sz w:val="28"/>
          <w:szCs w:val="28"/>
        </w:rPr>
      </w:pPr>
      <w:bookmarkStart w:id="8" w:name="_Toc471905905"/>
      <w:r>
        <w:rPr>
          <w:rFonts w:hint="eastAsia"/>
          <w:b w:val="0"/>
          <w:color w:val="auto"/>
          <w:sz w:val="28"/>
          <w:szCs w:val="28"/>
        </w:rPr>
        <w:t>1.4设施设备</w:t>
      </w:r>
      <w:bookmarkEnd w:id="8"/>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学校护理专业建有中央财政支持的国家级护理实训基地1个，总面积2845平方米，设有标准化模拟病房、示教室、抢救室、手术室、ICU病房、无菌操作室、治疗室、操作训练室共27个；药剂专业为省级实训基地，面积1660平方米，建有仿真药房、电子营销实训室、中医药标本馆、分析天平室等专业化实训室16</w:t>
      </w:r>
      <w:r>
        <w:rPr>
          <w:rFonts w:asciiTheme="minorEastAsia" w:hAnsiTheme="minorEastAsia" w:eastAsiaTheme="minorEastAsia"/>
          <w:color w:val="auto"/>
          <w:sz w:val="24"/>
        </w:rPr>
        <w:t>个；</w:t>
      </w:r>
      <w:r>
        <w:rPr>
          <w:rFonts w:hint="eastAsia" w:asciiTheme="minorEastAsia" w:hAnsiTheme="minorEastAsia" w:eastAsiaTheme="minorEastAsia"/>
          <w:color w:val="auto"/>
          <w:sz w:val="24"/>
        </w:rPr>
        <w:t>医学检验、医学影像技术等专业和医学基础等建有生命科学馆、解剖理实一体实训室、仿真医学检验中心实训室、CT操作室、电子显微镜室等专业实训室20个，能较好满足各专业技能实训教学的需求，同时也为区域内行业和社会培训服务提供了良好的专业实训场所和设施设备。</w:t>
      </w:r>
    </w:p>
    <w:p>
      <w:pPr>
        <w:spacing w:line="360" w:lineRule="auto"/>
        <w:ind w:firstLine="480" w:firstLineChars="200"/>
        <w:rPr>
          <w:rFonts w:asciiTheme="minorEastAsia" w:hAnsiTheme="minorEastAsia" w:eastAsiaTheme="minorEastAsia"/>
          <w:color w:val="auto"/>
          <w:sz w:val="24"/>
        </w:rPr>
      </w:pPr>
      <w:r>
        <w:rPr>
          <w:rFonts w:hint="eastAsia" w:ascii="宋体" w:hAnsi="宋体"/>
          <w:color w:val="auto"/>
          <w:sz w:val="24"/>
        </w:rPr>
        <w:t>建有</w:t>
      </w:r>
      <w:r>
        <w:rPr>
          <w:rFonts w:ascii="宋体" w:hAnsi="宋体"/>
          <w:color w:val="auto"/>
          <w:sz w:val="24"/>
        </w:rPr>
        <w:t>1300</w:t>
      </w:r>
      <w:r>
        <w:rPr>
          <w:rFonts w:hint="eastAsia" w:ascii="宋体" w:hAnsi="宋体"/>
          <w:color w:val="auto"/>
          <w:sz w:val="24"/>
        </w:rPr>
        <w:t>余平米的图书馆，</w:t>
      </w:r>
      <w:r>
        <w:rPr>
          <w:rFonts w:hint="eastAsia" w:ascii="宋体" w:hAnsi="宋体"/>
          <w:color w:val="auto"/>
          <w:sz w:val="24"/>
          <w:lang w:eastAsia="zh-CN"/>
        </w:rPr>
        <w:t>并于</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016年8</w:t>
      </w:r>
      <w:r>
        <w:rPr>
          <w:rFonts w:hint="eastAsia" w:asciiTheme="minorEastAsia" w:hAnsiTheme="minorEastAsia" w:eastAsiaTheme="minorEastAsia"/>
          <w:color w:val="auto"/>
          <w:sz w:val="24"/>
        </w:rPr>
        <w:t>月被评为</w:t>
      </w:r>
      <w:r>
        <w:rPr>
          <w:rFonts w:asciiTheme="minorEastAsia" w:hAnsiTheme="minorEastAsia" w:eastAsiaTheme="minorEastAsia"/>
          <w:color w:val="auto"/>
          <w:sz w:val="24"/>
        </w:rPr>
        <w:t>海宁市中小学示范图书馆</w:t>
      </w:r>
      <w:r>
        <w:rPr>
          <w:rFonts w:hint="eastAsia" w:asciiTheme="minorEastAsia" w:hAnsiTheme="minorEastAsia" w:eastAsiaTheme="minorEastAsia"/>
          <w:color w:val="auto"/>
          <w:sz w:val="24"/>
        </w:rPr>
        <w:t>(室)。</w:t>
      </w:r>
    </w:p>
    <w:p>
      <w:pPr>
        <w:spacing w:line="360" w:lineRule="auto"/>
        <w:ind w:firstLine="480" w:firstLineChars="200"/>
        <w:rPr>
          <w:rFonts w:ascii="宋体"/>
          <w:color w:val="auto"/>
          <w:sz w:val="24"/>
        </w:rPr>
      </w:pPr>
      <w:r>
        <w:rPr>
          <w:rFonts w:hint="eastAsia" w:ascii="宋体" w:hAnsi="宋体"/>
          <w:color w:val="auto"/>
          <w:sz w:val="24"/>
        </w:rPr>
        <w:t>分设图书借阅室、阅览室、书库、教师书吧等，图书馆纸质图书</w:t>
      </w:r>
      <w:r>
        <w:rPr>
          <w:rFonts w:ascii="宋体" w:hAnsi="宋体"/>
          <w:color w:val="auto"/>
          <w:sz w:val="24"/>
        </w:rPr>
        <w:t>136406</w:t>
      </w:r>
      <w:r>
        <w:rPr>
          <w:rFonts w:hint="eastAsia" w:ascii="宋体" w:hAnsi="宋体"/>
          <w:color w:val="auto"/>
          <w:sz w:val="24"/>
        </w:rPr>
        <w:t>册，图书生均</w:t>
      </w:r>
      <w:r>
        <w:rPr>
          <w:rFonts w:ascii="宋体" w:hAnsi="宋体"/>
          <w:color w:val="auto"/>
          <w:sz w:val="24"/>
        </w:rPr>
        <w:t>49.3</w:t>
      </w:r>
      <w:r>
        <w:rPr>
          <w:rFonts w:hint="eastAsia" w:ascii="宋体" w:hAnsi="宋体"/>
          <w:color w:val="auto"/>
          <w:sz w:val="24"/>
        </w:rPr>
        <w:t>册，期刊</w:t>
      </w:r>
      <w:r>
        <w:rPr>
          <w:rFonts w:ascii="宋体" w:hAnsi="宋体"/>
          <w:color w:val="auto"/>
          <w:sz w:val="24"/>
        </w:rPr>
        <w:t>156</w:t>
      </w:r>
      <w:r>
        <w:rPr>
          <w:rFonts w:hint="eastAsia" w:ascii="宋体" w:hAnsi="宋体"/>
          <w:color w:val="auto"/>
          <w:sz w:val="24"/>
        </w:rPr>
        <w:t>种，报纸</w:t>
      </w:r>
      <w:r>
        <w:rPr>
          <w:rFonts w:ascii="宋体" w:hAnsi="宋体"/>
          <w:color w:val="auto"/>
          <w:sz w:val="24"/>
        </w:rPr>
        <w:t>30</w:t>
      </w:r>
      <w:r>
        <w:rPr>
          <w:rFonts w:hint="eastAsia" w:ascii="宋体" w:hAnsi="宋体"/>
          <w:color w:val="auto"/>
          <w:sz w:val="24"/>
        </w:rPr>
        <w:t>种，另建有学校超星网络图书馆，拥有电子图书</w:t>
      </w:r>
      <w:r>
        <w:rPr>
          <w:rFonts w:ascii="宋体" w:hAnsi="宋体"/>
          <w:color w:val="auto"/>
          <w:sz w:val="24"/>
        </w:rPr>
        <w:t>50</w:t>
      </w:r>
      <w:r>
        <w:rPr>
          <w:rFonts w:hint="eastAsia" w:ascii="宋体" w:hAnsi="宋体"/>
          <w:color w:val="auto"/>
          <w:sz w:val="24"/>
        </w:rPr>
        <w:t>万册，纸质和电子图书逐年有计划更新，</w:t>
      </w:r>
      <w:r>
        <w:rPr>
          <w:rFonts w:ascii="宋体" w:hAnsi="宋体"/>
          <w:color w:val="auto"/>
          <w:sz w:val="24"/>
        </w:rPr>
        <w:t>2017</w:t>
      </w:r>
      <w:r>
        <w:rPr>
          <w:rFonts w:hint="eastAsia" w:ascii="宋体" w:hAnsi="宋体"/>
          <w:color w:val="auto"/>
          <w:sz w:val="24"/>
        </w:rPr>
        <w:t>年生均借阅率达</w:t>
      </w:r>
      <w:r>
        <w:rPr>
          <w:rFonts w:ascii="宋体" w:hAnsi="宋体"/>
          <w:color w:val="auto"/>
          <w:sz w:val="24"/>
        </w:rPr>
        <w:t>5.5</w:t>
      </w:r>
      <w:r>
        <w:rPr>
          <w:rFonts w:hint="eastAsia" w:ascii="宋体" w:hAnsi="宋体"/>
          <w:color w:val="auto"/>
          <w:sz w:val="24"/>
        </w:rPr>
        <w:t>册。</w:t>
      </w:r>
    </w:p>
    <w:p>
      <w:pPr>
        <w:autoSpaceDE w:val="0"/>
        <w:autoSpaceDN w:val="0"/>
        <w:adjustRightInd w:val="0"/>
        <w:spacing w:line="360" w:lineRule="auto"/>
        <w:ind w:firstLine="241" w:firstLineChars="100"/>
        <w:jc w:val="left"/>
        <w:rPr>
          <w:rFonts w:ascii="宋体"/>
          <w:b/>
          <w:color w:val="auto"/>
          <w:sz w:val="24"/>
        </w:rPr>
      </w:pPr>
      <w:r>
        <w:rPr>
          <w:rFonts w:hint="eastAsia" w:ascii="宋体" w:hAnsi="宋体"/>
          <w:b/>
          <w:color w:val="auto"/>
          <w:sz w:val="24"/>
        </w:rPr>
        <w:t>表</w:t>
      </w:r>
      <w:r>
        <w:rPr>
          <w:rFonts w:ascii="宋体" w:hAnsi="宋体"/>
          <w:b/>
          <w:color w:val="auto"/>
          <w:sz w:val="24"/>
        </w:rPr>
        <w:t>4</w:t>
      </w:r>
      <w:r>
        <w:rPr>
          <w:rFonts w:hint="eastAsia" w:ascii="宋体" w:hAnsi="宋体"/>
          <w:b/>
          <w:color w:val="auto"/>
          <w:sz w:val="24"/>
        </w:rPr>
        <w:t>：</w:t>
      </w:r>
      <w:r>
        <w:rPr>
          <w:rFonts w:ascii="宋体" w:hAnsi="宋体"/>
          <w:b/>
          <w:color w:val="auto"/>
          <w:sz w:val="24"/>
        </w:rPr>
        <w:t>2017</w:t>
      </w:r>
      <w:r>
        <w:rPr>
          <w:rFonts w:hint="eastAsia" w:ascii="宋体" w:hAnsi="宋体"/>
          <w:b/>
          <w:color w:val="auto"/>
          <w:sz w:val="24"/>
        </w:rPr>
        <w:t>、</w:t>
      </w:r>
      <w:r>
        <w:rPr>
          <w:rFonts w:ascii="宋体" w:hAnsi="宋体"/>
          <w:b/>
          <w:color w:val="auto"/>
          <w:sz w:val="24"/>
        </w:rPr>
        <w:t>2016</w:t>
      </w:r>
      <w:r>
        <w:rPr>
          <w:rFonts w:hint="eastAsia" w:ascii="宋体" w:hAnsi="宋体"/>
          <w:b/>
          <w:color w:val="auto"/>
          <w:sz w:val="24"/>
        </w:rPr>
        <w:t>年度学校主要设施设备指标比对表</w:t>
      </w:r>
    </w:p>
    <w:tbl>
      <w:tblPr>
        <w:tblStyle w:val="14"/>
        <w:tblW w:w="82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7"/>
        <w:gridCol w:w="1317"/>
        <w:gridCol w:w="1562"/>
        <w:gridCol w:w="1492"/>
        <w:gridCol w:w="1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2397" w:type="dxa"/>
            <w:vAlign w:val="center"/>
          </w:tcPr>
          <w:p>
            <w:pPr>
              <w:jc w:val="center"/>
              <w:rPr>
                <w:rFonts w:ascii="仿宋" w:hAnsi="仿宋" w:eastAsia="仿宋"/>
                <w:color w:val="auto"/>
                <w:sz w:val="24"/>
              </w:rPr>
            </w:pPr>
            <w:r>
              <w:rPr>
                <w:rFonts w:hint="eastAsia" w:ascii="仿宋" w:hAnsi="仿宋" w:eastAsia="仿宋"/>
                <w:color w:val="auto"/>
                <w:sz w:val="24"/>
              </w:rPr>
              <w:t>指</w:t>
            </w:r>
            <w:r>
              <w:rPr>
                <w:rFonts w:ascii="仿宋" w:hAnsi="仿宋" w:eastAsia="仿宋"/>
                <w:color w:val="auto"/>
                <w:sz w:val="24"/>
              </w:rPr>
              <w:t xml:space="preserve">   </w:t>
            </w:r>
            <w:r>
              <w:rPr>
                <w:rFonts w:hint="eastAsia" w:ascii="仿宋" w:hAnsi="仿宋" w:eastAsia="仿宋"/>
                <w:color w:val="auto"/>
                <w:sz w:val="24"/>
              </w:rPr>
              <w:t>标</w:t>
            </w:r>
          </w:p>
        </w:tc>
        <w:tc>
          <w:tcPr>
            <w:tcW w:w="1317" w:type="dxa"/>
            <w:tcBorders>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单位</w:t>
            </w:r>
          </w:p>
        </w:tc>
        <w:tc>
          <w:tcPr>
            <w:tcW w:w="1562" w:type="dxa"/>
            <w:vAlign w:val="center"/>
          </w:tcPr>
          <w:p>
            <w:pPr>
              <w:jc w:val="center"/>
              <w:rPr>
                <w:rFonts w:ascii="仿宋" w:hAnsi="仿宋" w:eastAsia="仿宋"/>
                <w:color w:val="auto"/>
                <w:sz w:val="24"/>
              </w:rPr>
            </w:pPr>
            <w:r>
              <w:rPr>
                <w:rFonts w:ascii="仿宋" w:hAnsi="仿宋" w:eastAsia="仿宋"/>
                <w:color w:val="auto"/>
                <w:sz w:val="24"/>
              </w:rPr>
              <w:t>2016</w:t>
            </w:r>
            <w:r>
              <w:rPr>
                <w:rFonts w:hint="eastAsia" w:ascii="仿宋" w:hAnsi="仿宋" w:eastAsia="仿宋"/>
                <w:color w:val="auto"/>
                <w:sz w:val="24"/>
              </w:rPr>
              <w:t>年</w:t>
            </w:r>
          </w:p>
        </w:tc>
        <w:tc>
          <w:tcPr>
            <w:tcW w:w="1492" w:type="dxa"/>
          </w:tcPr>
          <w:p>
            <w:pPr>
              <w:spacing w:line="480" w:lineRule="exact"/>
              <w:jc w:val="center"/>
              <w:rPr>
                <w:rFonts w:ascii="仿宋" w:hAnsi="仿宋" w:eastAsia="仿宋"/>
                <w:color w:val="auto"/>
                <w:sz w:val="24"/>
              </w:rPr>
            </w:pPr>
            <w:r>
              <w:rPr>
                <w:rFonts w:ascii="仿宋" w:hAnsi="仿宋" w:eastAsia="仿宋"/>
                <w:color w:val="auto"/>
                <w:sz w:val="24"/>
              </w:rPr>
              <w:t>2017</w:t>
            </w:r>
            <w:r>
              <w:rPr>
                <w:rFonts w:hint="eastAsia" w:ascii="仿宋" w:hAnsi="仿宋" w:eastAsia="仿宋"/>
                <w:color w:val="auto"/>
                <w:sz w:val="24"/>
              </w:rPr>
              <w:t>年</w:t>
            </w:r>
          </w:p>
        </w:tc>
        <w:tc>
          <w:tcPr>
            <w:tcW w:w="1492" w:type="dxa"/>
            <w:vAlign w:val="center"/>
          </w:tcPr>
          <w:p>
            <w:pPr>
              <w:jc w:val="center"/>
              <w:rPr>
                <w:rFonts w:ascii="仿宋" w:hAnsi="仿宋" w:eastAsia="仿宋"/>
                <w:color w:val="auto"/>
                <w:sz w:val="24"/>
              </w:rPr>
            </w:pPr>
            <w:r>
              <w:rPr>
                <w:rFonts w:hint="eastAsia" w:ascii="仿宋" w:hAnsi="仿宋" w:eastAsia="仿宋"/>
                <w:color w:val="auto"/>
                <w:sz w:val="24"/>
              </w:rPr>
              <w:t>变化值</w:t>
            </w:r>
            <w:r>
              <w:rPr>
                <w:rFonts w:ascii="仿宋" w:hAnsi="仿宋" w:eastAsia="仿宋"/>
                <w:color w:val="auto"/>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2397" w:type="dxa"/>
            <w:vAlign w:val="center"/>
          </w:tcPr>
          <w:p>
            <w:pPr>
              <w:jc w:val="center"/>
              <w:rPr>
                <w:rFonts w:ascii="仿宋" w:hAnsi="仿宋" w:eastAsia="仿宋"/>
                <w:color w:val="auto"/>
                <w:sz w:val="24"/>
              </w:rPr>
            </w:pPr>
            <w:r>
              <w:rPr>
                <w:rFonts w:hint="eastAsia" w:ascii="仿宋" w:hAnsi="仿宋" w:eastAsia="仿宋"/>
                <w:color w:val="auto"/>
                <w:sz w:val="24"/>
              </w:rPr>
              <w:t>教学仪器设备总值</w:t>
            </w:r>
          </w:p>
        </w:tc>
        <w:tc>
          <w:tcPr>
            <w:tcW w:w="1317" w:type="dxa"/>
            <w:tcBorders>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万元</w:t>
            </w:r>
          </w:p>
        </w:tc>
        <w:tc>
          <w:tcPr>
            <w:tcW w:w="1562" w:type="dxa"/>
            <w:vAlign w:val="center"/>
          </w:tcPr>
          <w:p>
            <w:pPr>
              <w:jc w:val="center"/>
              <w:rPr>
                <w:rFonts w:ascii="仿宋" w:hAnsi="仿宋" w:eastAsia="仿宋"/>
                <w:color w:val="auto"/>
                <w:sz w:val="24"/>
              </w:rPr>
            </w:pPr>
            <w:r>
              <w:rPr>
                <w:rFonts w:ascii="仿宋" w:hAnsi="仿宋" w:eastAsia="仿宋"/>
                <w:color w:val="auto"/>
                <w:sz w:val="24"/>
              </w:rPr>
              <w:t>2326.2</w:t>
            </w:r>
          </w:p>
        </w:tc>
        <w:tc>
          <w:tcPr>
            <w:tcW w:w="1492" w:type="dxa"/>
          </w:tcPr>
          <w:p>
            <w:pPr>
              <w:spacing w:line="480" w:lineRule="exact"/>
              <w:jc w:val="center"/>
              <w:rPr>
                <w:rFonts w:ascii="仿宋" w:hAnsi="仿宋" w:eastAsia="仿宋"/>
                <w:color w:val="auto"/>
                <w:sz w:val="24"/>
              </w:rPr>
            </w:pPr>
            <w:r>
              <w:rPr>
                <w:rFonts w:ascii="仿宋" w:hAnsi="仿宋" w:eastAsia="仿宋"/>
                <w:color w:val="auto"/>
                <w:sz w:val="24"/>
              </w:rPr>
              <w:t>2389.37</w:t>
            </w:r>
          </w:p>
        </w:tc>
        <w:tc>
          <w:tcPr>
            <w:tcW w:w="1492" w:type="dxa"/>
            <w:vAlign w:val="center"/>
          </w:tcPr>
          <w:p>
            <w:pPr>
              <w:jc w:val="center"/>
              <w:rPr>
                <w:rFonts w:ascii="仿宋" w:hAnsi="仿宋" w:eastAsia="仿宋"/>
                <w:color w:val="auto"/>
                <w:sz w:val="24"/>
              </w:rPr>
            </w:pPr>
            <w:r>
              <w:rPr>
                <w:rFonts w:ascii="仿宋" w:hAnsi="仿宋" w:eastAsia="仿宋"/>
                <w:color w:val="auto"/>
                <w:sz w:val="24"/>
              </w:rPr>
              <w:t>63.17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2397" w:type="dxa"/>
            <w:vAlign w:val="center"/>
          </w:tcPr>
          <w:p>
            <w:pPr>
              <w:jc w:val="center"/>
              <w:rPr>
                <w:rFonts w:ascii="仿宋" w:hAnsi="仿宋" w:eastAsia="仿宋"/>
                <w:color w:val="auto"/>
                <w:sz w:val="24"/>
              </w:rPr>
            </w:pPr>
            <w:r>
              <w:rPr>
                <w:rFonts w:hint="eastAsia" w:ascii="仿宋" w:hAnsi="仿宋" w:eastAsia="仿宋"/>
                <w:color w:val="auto"/>
                <w:sz w:val="24"/>
              </w:rPr>
              <w:t>生均教学仪器设备值</w:t>
            </w:r>
          </w:p>
        </w:tc>
        <w:tc>
          <w:tcPr>
            <w:tcW w:w="1317" w:type="dxa"/>
            <w:tcBorders>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元</w:t>
            </w:r>
          </w:p>
        </w:tc>
        <w:tc>
          <w:tcPr>
            <w:tcW w:w="1562" w:type="dxa"/>
            <w:vAlign w:val="center"/>
          </w:tcPr>
          <w:p>
            <w:pPr>
              <w:jc w:val="center"/>
              <w:rPr>
                <w:rFonts w:ascii="仿宋" w:hAnsi="仿宋" w:eastAsia="仿宋"/>
                <w:color w:val="auto"/>
                <w:sz w:val="24"/>
              </w:rPr>
            </w:pPr>
            <w:r>
              <w:rPr>
                <w:rFonts w:ascii="仿宋" w:hAnsi="仿宋" w:eastAsia="仿宋"/>
                <w:color w:val="auto"/>
                <w:sz w:val="24"/>
              </w:rPr>
              <w:t>8409.9</w:t>
            </w:r>
          </w:p>
        </w:tc>
        <w:tc>
          <w:tcPr>
            <w:tcW w:w="1492" w:type="dxa"/>
          </w:tcPr>
          <w:p>
            <w:pPr>
              <w:spacing w:line="480" w:lineRule="exact"/>
              <w:jc w:val="center"/>
              <w:rPr>
                <w:rFonts w:ascii="仿宋" w:hAnsi="仿宋" w:eastAsia="仿宋"/>
                <w:color w:val="auto"/>
                <w:sz w:val="24"/>
              </w:rPr>
            </w:pPr>
            <w:r>
              <w:rPr>
                <w:rFonts w:ascii="仿宋" w:hAnsi="仿宋" w:eastAsia="仿宋"/>
                <w:color w:val="auto"/>
                <w:sz w:val="24"/>
              </w:rPr>
              <w:t>8533.46</w:t>
            </w:r>
          </w:p>
        </w:tc>
        <w:tc>
          <w:tcPr>
            <w:tcW w:w="1492" w:type="dxa"/>
            <w:vAlign w:val="center"/>
          </w:tcPr>
          <w:p>
            <w:pPr>
              <w:jc w:val="center"/>
              <w:rPr>
                <w:rFonts w:hint="eastAsia" w:ascii="仿宋" w:hAnsi="仿宋" w:eastAsia="仿宋"/>
                <w:color w:val="auto"/>
                <w:sz w:val="24"/>
                <w:lang w:eastAsia="zh-CN"/>
              </w:rPr>
            </w:pPr>
            <w:r>
              <w:rPr>
                <w:rFonts w:hint="eastAsia" w:ascii="仿宋" w:hAnsi="仿宋" w:eastAsia="仿宋"/>
                <w:color w:val="auto"/>
                <w:sz w:val="24"/>
                <w:lang w:val="en-US" w:eastAsia="zh-CN"/>
              </w:rPr>
              <w:t>156.56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2397" w:type="dxa"/>
            <w:vAlign w:val="center"/>
          </w:tcPr>
          <w:p>
            <w:pPr>
              <w:jc w:val="center"/>
              <w:rPr>
                <w:rFonts w:ascii="仿宋" w:hAnsi="仿宋" w:eastAsia="仿宋"/>
                <w:color w:val="auto"/>
                <w:sz w:val="24"/>
              </w:rPr>
            </w:pPr>
            <w:r>
              <w:rPr>
                <w:rFonts w:hint="eastAsia" w:ascii="仿宋" w:hAnsi="仿宋" w:eastAsia="仿宋"/>
                <w:color w:val="auto"/>
                <w:sz w:val="24"/>
              </w:rPr>
              <w:t>专业实训室</w:t>
            </w:r>
          </w:p>
        </w:tc>
        <w:tc>
          <w:tcPr>
            <w:tcW w:w="1317" w:type="dxa"/>
            <w:tcBorders>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个</w:t>
            </w:r>
          </w:p>
        </w:tc>
        <w:tc>
          <w:tcPr>
            <w:tcW w:w="1562" w:type="dxa"/>
            <w:vAlign w:val="center"/>
          </w:tcPr>
          <w:p>
            <w:pPr>
              <w:jc w:val="center"/>
              <w:rPr>
                <w:rFonts w:ascii="仿宋" w:hAnsi="仿宋" w:eastAsia="仿宋"/>
                <w:color w:val="auto"/>
                <w:sz w:val="24"/>
              </w:rPr>
            </w:pPr>
            <w:r>
              <w:rPr>
                <w:rFonts w:ascii="仿宋" w:hAnsi="仿宋" w:eastAsia="仿宋"/>
                <w:color w:val="auto"/>
                <w:sz w:val="24"/>
              </w:rPr>
              <w:t>63</w:t>
            </w:r>
          </w:p>
        </w:tc>
        <w:tc>
          <w:tcPr>
            <w:tcW w:w="1492" w:type="dxa"/>
          </w:tcPr>
          <w:p>
            <w:pPr>
              <w:spacing w:line="480" w:lineRule="exact"/>
              <w:jc w:val="center"/>
              <w:rPr>
                <w:rFonts w:ascii="仿宋" w:hAnsi="仿宋" w:eastAsia="仿宋"/>
                <w:color w:val="auto"/>
                <w:sz w:val="24"/>
              </w:rPr>
            </w:pPr>
            <w:r>
              <w:rPr>
                <w:rFonts w:ascii="仿宋" w:hAnsi="仿宋" w:eastAsia="仿宋"/>
                <w:color w:val="auto"/>
                <w:sz w:val="24"/>
              </w:rPr>
              <w:t>63</w:t>
            </w:r>
          </w:p>
        </w:tc>
        <w:tc>
          <w:tcPr>
            <w:tcW w:w="1492" w:type="dxa"/>
            <w:vAlign w:val="center"/>
          </w:tcPr>
          <w:p>
            <w:pPr>
              <w:jc w:val="center"/>
              <w:rPr>
                <w:rFonts w:ascii="仿宋" w:hAnsi="仿宋" w:eastAsia="仿宋"/>
                <w:color w:val="auto"/>
                <w:sz w:val="24"/>
              </w:rPr>
            </w:pPr>
            <w:r>
              <w:rPr>
                <w:rFonts w:ascii="仿宋" w:hAnsi="仿宋" w:eastAsia="仿宋"/>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2397" w:type="dxa"/>
            <w:vAlign w:val="center"/>
          </w:tcPr>
          <w:p>
            <w:pPr>
              <w:jc w:val="center"/>
              <w:rPr>
                <w:rFonts w:ascii="仿宋" w:hAnsi="仿宋" w:eastAsia="仿宋"/>
                <w:color w:val="auto"/>
                <w:sz w:val="24"/>
              </w:rPr>
            </w:pPr>
            <w:r>
              <w:rPr>
                <w:rFonts w:hint="eastAsia" w:ascii="仿宋" w:hAnsi="仿宋" w:eastAsia="仿宋"/>
                <w:color w:val="auto"/>
                <w:sz w:val="24"/>
              </w:rPr>
              <w:t>实训工位数</w:t>
            </w:r>
          </w:p>
        </w:tc>
        <w:tc>
          <w:tcPr>
            <w:tcW w:w="1317" w:type="dxa"/>
            <w:tcBorders>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个</w:t>
            </w:r>
          </w:p>
        </w:tc>
        <w:tc>
          <w:tcPr>
            <w:tcW w:w="1562" w:type="dxa"/>
            <w:vAlign w:val="center"/>
          </w:tcPr>
          <w:p>
            <w:pPr>
              <w:jc w:val="center"/>
              <w:rPr>
                <w:rFonts w:ascii="仿宋" w:hAnsi="仿宋" w:eastAsia="仿宋"/>
                <w:color w:val="auto"/>
                <w:sz w:val="24"/>
              </w:rPr>
            </w:pPr>
            <w:r>
              <w:rPr>
                <w:rFonts w:ascii="仿宋" w:hAnsi="仿宋" w:eastAsia="仿宋"/>
                <w:color w:val="auto"/>
                <w:sz w:val="24"/>
              </w:rPr>
              <w:t>3020</w:t>
            </w:r>
          </w:p>
        </w:tc>
        <w:tc>
          <w:tcPr>
            <w:tcW w:w="1492" w:type="dxa"/>
          </w:tcPr>
          <w:p>
            <w:pPr>
              <w:spacing w:line="480" w:lineRule="exact"/>
              <w:jc w:val="center"/>
              <w:rPr>
                <w:rFonts w:ascii="仿宋" w:hAnsi="仿宋" w:eastAsia="仿宋"/>
                <w:color w:val="auto"/>
                <w:sz w:val="24"/>
              </w:rPr>
            </w:pPr>
            <w:r>
              <w:rPr>
                <w:rFonts w:ascii="仿宋" w:hAnsi="仿宋" w:eastAsia="仿宋"/>
                <w:color w:val="auto"/>
                <w:sz w:val="24"/>
              </w:rPr>
              <w:t>3020</w:t>
            </w:r>
          </w:p>
        </w:tc>
        <w:tc>
          <w:tcPr>
            <w:tcW w:w="1492" w:type="dxa"/>
            <w:vAlign w:val="center"/>
          </w:tcPr>
          <w:p>
            <w:pPr>
              <w:jc w:val="center"/>
              <w:rPr>
                <w:rFonts w:ascii="仿宋" w:hAnsi="仿宋" w:eastAsia="仿宋"/>
                <w:color w:val="auto"/>
                <w:sz w:val="24"/>
              </w:rPr>
            </w:pPr>
            <w:r>
              <w:rPr>
                <w:rFonts w:ascii="仿宋" w:hAnsi="仿宋" w:eastAsia="仿宋"/>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2397" w:type="dxa"/>
            <w:vAlign w:val="center"/>
          </w:tcPr>
          <w:p>
            <w:pPr>
              <w:jc w:val="center"/>
              <w:rPr>
                <w:rFonts w:ascii="仿宋" w:hAnsi="仿宋" w:eastAsia="仿宋"/>
                <w:color w:val="auto"/>
                <w:sz w:val="24"/>
              </w:rPr>
            </w:pPr>
            <w:r>
              <w:rPr>
                <w:rFonts w:hint="eastAsia" w:ascii="仿宋" w:hAnsi="仿宋" w:eastAsia="仿宋"/>
                <w:color w:val="auto"/>
                <w:sz w:val="24"/>
              </w:rPr>
              <w:t>生均实习工位数</w:t>
            </w:r>
          </w:p>
        </w:tc>
        <w:tc>
          <w:tcPr>
            <w:tcW w:w="1317" w:type="dxa"/>
            <w:tcBorders>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个</w:t>
            </w:r>
          </w:p>
        </w:tc>
        <w:tc>
          <w:tcPr>
            <w:tcW w:w="1562" w:type="dxa"/>
            <w:vAlign w:val="center"/>
          </w:tcPr>
          <w:p>
            <w:pPr>
              <w:jc w:val="center"/>
              <w:rPr>
                <w:rFonts w:ascii="仿宋" w:hAnsi="仿宋" w:eastAsia="仿宋"/>
                <w:color w:val="auto"/>
                <w:sz w:val="24"/>
              </w:rPr>
            </w:pPr>
            <w:r>
              <w:rPr>
                <w:rFonts w:ascii="仿宋" w:hAnsi="仿宋" w:eastAsia="仿宋"/>
                <w:color w:val="auto"/>
                <w:sz w:val="24"/>
              </w:rPr>
              <w:t>1.09</w:t>
            </w:r>
          </w:p>
        </w:tc>
        <w:tc>
          <w:tcPr>
            <w:tcW w:w="1492" w:type="dxa"/>
          </w:tcPr>
          <w:p>
            <w:pPr>
              <w:spacing w:line="480" w:lineRule="exact"/>
              <w:jc w:val="center"/>
              <w:rPr>
                <w:rFonts w:ascii="仿宋" w:hAnsi="仿宋" w:eastAsia="仿宋"/>
                <w:color w:val="auto"/>
                <w:sz w:val="24"/>
              </w:rPr>
            </w:pPr>
            <w:r>
              <w:rPr>
                <w:rFonts w:ascii="仿宋" w:hAnsi="仿宋" w:eastAsia="仿宋"/>
                <w:color w:val="auto"/>
                <w:sz w:val="24"/>
              </w:rPr>
              <w:t>1.09</w:t>
            </w:r>
          </w:p>
        </w:tc>
        <w:tc>
          <w:tcPr>
            <w:tcW w:w="1492" w:type="dxa"/>
            <w:vAlign w:val="center"/>
          </w:tcPr>
          <w:p>
            <w:pPr>
              <w:jc w:val="center"/>
              <w:rPr>
                <w:rFonts w:hint="eastAsia" w:ascii="仿宋" w:hAnsi="仿宋" w:eastAsia="仿宋"/>
                <w:color w:val="auto"/>
                <w:sz w:val="24"/>
                <w:lang w:eastAsia="zh-CN"/>
              </w:rPr>
            </w:pPr>
            <w:r>
              <w:rPr>
                <w:rFonts w:hint="eastAsia" w:ascii="仿宋" w:hAnsi="仿宋" w:eastAsia="仿宋"/>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2397" w:type="dxa"/>
            <w:vAlign w:val="center"/>
          </w:tcPr>
          <w:p>
            <w:pPr>
              <w:jc w:val="center"/>
              <w:rPr>
                <w:rFonts w:ascii="仿宋" w:hAnsi="仿宋" w:eastAsia="仿宋"/>
                <w:color w:val="auto"/>
                <w:sz w:val="24"/>
              </w:rPr>
            </w:pPr>
            <w:r>
              <w:rPr>
                <w:rFonts w:hint="eastAsia" w:ascii="仿宋" w:hAnsi="仿宋" w:eastAsia="仿宋"/>
                <w:color w:val="auto"/>
                <w:sz w:val="24"/>
              </w:rPr>
              <w:t>纸质图书</w:t>
            </w:r>
          </w:p>
        </w:tc>
        <w:tc>
          <w:tcPr>
            <w:tcW w:w="1317" w:type="dxa"/>
            <w:tcBorders>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册</w:t>
            </w:r>
          </w:p>
        </w:tc>
        <w:tc>
          <w:tcPr>
            <w:tcW w:w="1562" w:type="dxa"/>
            <w:vAlign w:val="center"/>
          </w:tcPr>
          <w:p>
            <w:pPr>
              <w:jc w:val="center"/>
              <w:rPr>
                <w:rFonts w:ascii="仿宋" w:hAnsi="仿宋" w:eastAsia="仿宋"/>
                <w:color w:val="auto"/>
                <w:sz w:val="24"/>
              </w:rPr>
            </w:pPr>
            <w:r>
              <w:rPr>
                <w:rFonts w:ascii="仿宋" w:hAnsi="仿宋" w:eastAsia="仿宋"/>
                <w:color w:val="auto"/>
                <w:sz w:val="24"/>
              </w:rPr>
              <w:t>136406</w:t>
            </w:r>
          </w:p>
        </w:tc>
        <w:tc>
          <w:tcPr>
            <w:tcW w:w="1492" w:type="dxa"/>
          </w:tcPr>
          <w:p>
            <w:pPr>
              <w:spacing w:line="480" w:lineRule="exact"/>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136536</w:t>
            </w:r>
          </w:p>
        </w:tc>
        <w:tc>
          <w:tcPr>
            <w:tcW w:w="1492" w:type="dxa"/>
            <w:vAlign w:val="center"/>
          </w:tcPr>
          <w:p>
            <w:pPr>
              <w:jc w:val="center"/>
              <w:rPr>
                <w:rFonts w:ascii="仿宋" w:hAnsi="仿宋" w:eastAsia="仿宋"/>
                <w:color w:val="auto"/>
                <w:sz w:val="24"/>
              </w:rPr>
            </w:pPr>
            <w:r>
              <w:rPr>
                <w:rFonts w:hint="eastAsia" w:ascii="仿宋" w:hAnsi="仿宋" w:eastAsia="仿宋"/>
                <w:color w:val="auto"/>
                <w:sz w:val="24"/>
                <w:lang w:val="en-US" w:eastAsia="zh-CN"/>
              </w:rPr>
              <w:t>1</w:t>
            </w:r>
            <w:r>
              <w:rPr>
                <w:rFonts w:ascii="仿宋" w:hAnsi="仿宋" w:eastAsia="仿宋"/>
                <w:color w:val="auto"/>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2397" w:type="dxa"/>
            <w:vAlign w:val="center"/>
          </w:tcPr>
          <w:p>
            <w:pPr>
              <w:jc w:val="center"/>
              <w:rPr>
                <w:rFonts w:ascii="仿宋" w:hAnsi="仿宋" w:eastAsia="仿宋"/>
                <w:color w:val="auto"/>
                <w:sz w:val="24"/>
              </w:rPr>
            </w:pPr>
            <w:r>
              <w:rPr>
                <w:rFonts w:hint="eastAsia" w:ascii="仿宋" w:hAnsi="仿宋" w:eastAsia="仿宋"/>
                <w:color w:val="auto"/>
                <w:sz w:val="24"/>
              </w:rPr>
              <w:t>生均纸质图书</w:t>
            </w:r>
          </w:p>
        </w:tc>
        <w:tc>
          <w:tcPr>
            <w:tcW w:w="1317" w:type="dxa"/>
            <w:tcBorders>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册</w:t>
            </w:r>
          </w:p>
        </w:tc>
        <w:tc>
          <w:tcPr>
            <w:tcW w:w="1562" w:type="dxa"/>
            <w:vAlign w:val="center"/>
          </w:tcPr>
          <w:p>
            <w:pPr>
              <w:jc w:val="center"/>
              <w:rPr>
                <w:rFonts w:ascii="仿宋" w:hAnsi="仿宋" w:eastAsia="仿宋"/>
                <w:color w:val="auto"/>
                <w:sz w:val="24"/>
              </w:rPr>
            </w:pPr>
            <w:r>
              <w:rPr>
                <w:rFonts w:ascii="仿宋" w:hAnsi="仿宋" w:eastAsia="仿宋"/>
                <w:color w:val="auto"/>
                <w:sz w:val="24"/>
              </w:rPr>
              <w:t>49.3</w:t>
            </w:r>
          </w:p>
        </w:tc>
        <w:tc>
          <w:tcPr>
            <w:tcW w:w="1492" w:type="dxa"/>
          </w:tcPr>
          <w:p>
            <w:pPr>
              <w:spacing w:line="480" w:lineRule="exact"/>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50</w:t>
            </w:r>
          </w:p>
        </w:tc>
        <w:tc>
          <w:tcPr>
            <w:tcW w:w="1492" w:type="dxa"/>
            <w:vAlign w:val="center"/>
          </w:tcPr>
          <w:p>
            <w:pPr>
              <w:jc w:val="center"/>
              <w:rPr>
                <w:rFonts w:hint="eastAsia" w:ascii="仿宋" w:hAnsi="仿宋" w:eastAsia="仿宋"/>
                <w:color w:val="auto"/>
                <w:sz w:val="24"/>
                <w:lang w:eastAsia="zh-CN"/>
              </w:rPr>
            </w:pPr>
            <w:r>
              <w:rPr>
                <w:rFonts w:hint="eastAsia" w:ascii="仿宋" w:hAnsi="仿宋" w:eastAsia="仿宋"/>
                <w:color w:val="auto"/>
                <w:sz w:val="24"/>
                <w:lang w:val="en-US" w:eastAsia="zh-CN"/>
              </w:rPr>
              <w:t>0.7</w:t>
            </w:r>
          </w:p>
        </w:tc>
      </w:tr>
    </w:tbl>
    <w:p>
      <w:pPr>
        <w:spacing w:line="360" w:lineRule="auto"/>
        <w:ind w:firstLine="480" w:firstLineChars="200"/>
        <w:rPr>
          <w:rFonts w:hint="eastAsia" w:asciiTheme="minorEastAsia" w:hAnsiTheme="minorEastAsia" w:eastAsiaTheme="minorEastAsia"/>
          <w:color w:val="auto"/>
          <w:sz w:val="24"/>
        </w:rPr>
      </w:pPr>
    </w:p>
    <w:bookmarkEnd w:id="4"/>
    <w:p>
      <w:pPr>
        <w:pStyle w:val="2"/>
        <w:keepNext w:val="0"/>
        <w:keepLines w:val="0"/>
        <w:adjustRightInd w:val="0"/>
        <w:snapToGrid w:val="0"/>
        <w:spacing w:before="156" w:beforeLines="50" w:line="360" w:lineRule="auto"/>
        <w:rPr>
          <w:rFonts w:ascii="黑体" w:hAnsi="黑体" w:eastAsia="黑体" w:cs="黑体"/>
          <w:color w:val="auto"/>
          <w:sz w:val="30"/>
          <w:szCs w:val="30"/>
        </w:rPr>
      </w:pPr>
      <w:bookmarkStart w:id="9" w:name="_Toc471905906"/>
      <w:bookmarkStart w:id="10" w:name="_Toc2700"/>
      <w:r>
        <w:rPr>
          <w:rFonts w:hint="eastAsia" w:ascii="黑体" w:hAnsi="黑体" w:eastAsia="黑体" w:cs="黑体"/>
          <w:color w:val="auto"/>
          <w:sz w:val="30"/>
          <w:szCs w:val="30"/>
        </w:rPr>
        <w:t>2.学生发展</w:t>
      </w:r>
      <w:bookmarkEnd w:id="9"/>
      <w:r>
        <w:rPr>
          <w:rFonts w:ascii="黑体" w:hAnsi="黑体" w:eastAsia="黑体" w:cs="黑体"/>
          <w:color w:val="auto"/>
          <w:sz w:val="30"/>
          <w:szCs w:val="30"/>
        </w:rPr>
        <w:tab/>
      </w:r>
    </w:p>
    <w:bookmarkEnd w:id="10"/>
    <w:p>
      <w:pPr>
        <w:pStyle w:val="3"/>
        <w:keepNext w:val="0"/>
        <w:keepLines w:val="0"/>
        <w:adjustRightInd w:val="0"/>
        <w:spacing w:line="360" w:lineRule="auto"/>
        <w:ind w:firstLine="280" w:firstLineChars="100"/>
        <w:rPr>
          <w:b w:val="0"/>
          <w:color w:val="auto"/>
          <w:sz w:val="28"/>
          <w:szCs w:val="28"/>
        </w:rPr>
      </w:pPr>
      <w:bookmarkStart w:id="11" w:name="_Toc471905907"/>
      <w:bookmarkStart w:id="12" w:name="_Toc10884"/>
      <w:r>
        <w:rPr>
          <w:rFonts w:hint="eastAsia"/>
          <w:b w:val="0"/>
          <w:color w:val="auto"/>
          <w:sz w:val="28"/>
          <w:szCs w:val="28"/>
        </w:rPr>
        <w:t>2.1学生素质</w:t>
      </w:r>
      <w:bookmarkEnd w:id="11"/>
      <w:bookmarkEnd w:id="12"/>
    </w:p>
    <w:p>
      <w:pPr>
        <w:widowControl/>
        <w:adjustRightInd w:val="0"/>
        <w:snapToGrid w:val="0"/>
        <w:spacing w:line="360" w:lineRule="auto"/>
        <w:ind w:firstLine="48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eastAsia="zh-CN"/>
        </w:rPr>
        <w:t>我校</w:t>
      </w:r>
      <w:r>
        <w:rPr>
          <w:rFonts w:hint="eastAsia" w:cs="宋体" w:asciiTheme="minorEastAsia" w:hAnsiTheme="minorEastAsia" w:eastAsiaTheme="minorEastAsia"/>
          <w:color w:val="auto"/>
          <w:kern w:val="0"/>
          <w:sz w:val="24"/>
        </w:rPr>
        <w:t>在“育人育才并举，育才先育人”教育思想引领下，孕育着以“奉献、重托、品牌”为基因要素的校园“天使文化”，持续发挥文化育人功效。围绕“塑形、育心、铸魂”三途径，全面实施“天使育人工程”，培育规范自律、文明守礼、勇担重托、乐于奉献的“海卫小天使”，持续为省内医药卫生行业及健康服务产业输送优质专业技术人才。</w:t>
      </w:r>
    </w:p>
    <w:p>
      <w:pPr>
        <w:widowControl/>
        <w:adjustRightInd w:val="0"/>
        <w:snapToGrid w:val="0"/>
        <w:spacing w:line="360" w:lineRule="auto"/>
        <w:ind w:firstLine="480" w:firstLineChars="200"/>
        <w:jc w:val="left"/>
        <w:rPr>
          <w:rFonts w:hint="eastAsia" w:cs="宋体" w:asciiTheme="minorEastAsia" w:hAnsiTheme="minorEastAsia" w:eastAsiaTheme="minorEastAsia"/>
          <w:color w:val="auto"/>
          <w:kern w:val="0"/>
          <w:sz w:val="24"/>
        </w:rPr>
      </w:pPr>
      <w:r>
        <w:rPr>
          <w:rFonts w:ascii="宋体" w:hAnsi="宋体" w:cs="宋体"/>
          <w:color w:val="auto"/>
          <w:kern w:val="0"/>
          <w:sz w:val="24"/>
        </w:rPr>
        <w:t>2017</w:t>
      </w:r>
      <w:r>
        <w:rPr>
          <w:rFonts w:hint="eastAsia" w:ascii="宋体" w:hAnsi="宋体" w:cs="宋体"/>
          <w:color w:val="auto"/>
          <w:kern w:val="0"/>
          <w:sz w:val="24"/>
        </w:rPr>
        <w:t>年，</w:t>
      </w:r>
      <w:r>
        <w:rPr>
          <w:rFonts w:hint="eastAsia" w:ascii="宋体" w:hAnsi="宋体" w:cs="宋体"/>
          <w:color w:val="auto"/>
          <w:kern w:val="0"/>
          <w:sz w:val="24"/>
          <w:lang w:eastAsia="zh-CN"/>
        </w:rPr>
        <w:t>我校</w:t>
      </w:r>
      <w:r>
        <w:rPr>
          <w:rFonts w:ascii="宋体" w:hAnsi="宋体" w:cs="宋体"/>
          <w:color w:val="auto"/>
          <w:kern w:val="0"/>
          <w:sz w:val="24"/>
        </w:rPr>
        <w:t>1403</w:t>
      </w:r>
      <w:r>
        <w:rPr>
          <w:rFonts w:hint="eastAsia" w:ascii="宋体" w:hAnsi="宋体" w:cs="宋体"/>
          <w:color w:val="auto"/>
          <w:kern w:val="0"/>
          <w:sz w:val="24"/>
        </w:rPr>
        <w:t>班张辉、</w:t>
      </w:r>
      <w:r>
        <w:rPr>
          <w:rFonts w:ascii="宋体" w:hAnsi="宋体" w:cs="宋体"/>
          <w:color w:val="auto"/>
          <w:kern w:val="0"/>
          <w:sz w:val="24"/>
        </w:rPr>
        <w:t>1501</w:t>
      </w:r>
      <w:r>
        <w:rPr>
          <w:rFonts w:hint="eastAsia" w:ascii="宋体" w:hAnsi="宋体" w:cs="宋体"/>
          <w:color w:val="auto"/>
          <w:kern w:val="0"/>
          <w:sz w:val="24"/>
        </w:rPr>
        <w:t>班钟凯婷、</w:t>
      </w:r>
      <w:r>
        <w:rPr>
          <w:rFonts w:ascii="宋体" w:hAnsi="宋体" w:cs="宋体"/>
          <w:color w:val="auto"/>
          <w:kern w:val="0"/>
          <w:sz w:val="24"/>
        </w:rPr>
        <w:t>1403</w:t>
      </w:r>
      <w:r>
        <w:rPr>
          <w:rFonts w:hint="eastAsia" w:ascii="宋体" w:hAnsi="宋体" w:cs="宋体"/>
          <w:color w:val="auto"/>
          <w:kern w:val="0"/>
          <w:sz w:val="24"/>
        </w:rPr>
        <w:t>班李施恩</w:t>
      </w:r>
      <w:r>
        <w:rPr>
          <w:rFonts w:ascii="宋体" w:hAnsi="宋体" w:cs="宋体"/>
          <w:color w:val="auto"/>
          <w:kern w:val="0"/>
          <w:sz w:val="24"/>
        </w:rPr>
        <w:t>3</w:t>
      </w:r>
      <w:r>
        <w:rPr>
          <w:rFonts w:hint="eastAsia" w:ascii="宋体" w:hAnsi="宋体" w:cs="宋体"/>
          <w:color w:val="auto"/>
          <w:kern w:val="0"/>
          <w:sz w:val="24"/>
        </w:rPr>
        <w:t>名同学，获了省护理技能大赛</w:t>
      </w:r>
      <w:r>
        <w:rPr>
          <w:rFonts w:ascii="宋体" w:hAnsi="宋体" w:cs="宋体"/>
          <w:color w:val="auto"/>
          <w:kern w:val="0"/>
          <w:sz w:val="24"/>
        </w:rPr>
        <w:t>4</w:t>
      </w:r>
      <w:r>
        <w:rPr>
          <w:rFonts w:hint="eastAsia" w:ascii="宋体" w:hAnsi="宋体" w:cs="宋体"/>
          <w:color w:val="auto"/>
          <w:kern w:val="0"/>
          <w:sz w:val="24"/>
        </w:rPr>
        <w:t>金中的</w:t>
      </w:r>
      <w:r>
        <w:rPr>
          <w:rFonts w:ascii="宋体" w:hAnsi="宋体" w:cs="宋体"/>
          <w:color w:val="auto"/>
          <w:kern w:val="0"/>
          <w:sz w:val="24"/>
        </w:rPr>
        <w:t>3</w:t>
      </w:r>
      <w:r>
        <w:rPr>
          <w:rFonts w:hint="eastAsia" w:ascii="宋体" w:hAnsi="宋体" w:cs="宋体"/>
          <w:color w:val="auto"/>
          <w:kern w:val="0"/>
          <w:sz w:val="24"/>
        </w:rPr>
        <w:t>枚金牌，其中张辉同学还获得了</w:t>
      </w:r>
      <w:r>
        <w:rPr>
          <w:rFonts w:ascii="宋体" w:hAnsi="宋体" w:cs="宋体"/>
          <w:color w:val="auto"/>
          <w:kern w:val="0"/>
          <w:sz w:val="24"/>
        </w:rPr>
        <w:t>2017</w:t>
      </w:r>
      <w:r>
        <w:rPr>
          <w:rFonts w:hint="eastAsia" w:ascii="宋体" w:hAnsi="宋体" w:cs="宋体"/>
          <w:color w:val="auto"/>
          <w:kern w:val="0"/>
          <w:sz w:val="24"/>
        </w:rPr>
        <w:t>年全国中等职业院校技能大赛一等奖，钟凯婷获得了</w:t>
      </w:r>
      <w:r>
        <w:rPr>
          <w:rFonts w:ascii="宋体" w:hAnsi="宋体" w:cs="宋体"/>
          <w:color w:val="auto"/>
          <w:kern w:val="0"/>
          <w:sz w:val="24"/>
        </w:rPr>
        <w:t>2017</w:t>
      </w:r>
      <w:r>
        <w:rPr>
          <w:rFonts w:hint="eastAsia" w:ascii="宋体" w:hAnsi="宋体" w:cs="宋体"/>
          <w:color w:val="auto"/>
          <w:kern w:val="0"/>
          <w:sz w:val="24"/>
        </w:rPr>
        <w:t>年全国中等职业院校技能大赛二等奖。</w:t>
      </w:r>
      <w:r>
        <w:rPr>
          <w:rFonts w:ascii="宋体" w:hAnsi="宋体" w:cs="宋体"/>
          <w:color w:val="auto"/>
          <w:kern w:val="0"/>
          <w:sz w:val="24"/>
        </w:rPr>
        <w:t>1511</w:t>
      </w:r>
      <w:r>
        <w:rPr>
          <w:rFonts w:hint="eastAsia" w:ascii="宋体" w:hAnsi="宋体" w:cs="宋体"/>
          <w:color w:val="auto"/>
          <w:kern w:val="0"/>
          <w:sz w:val="24"/>
        </w:rPr>
        <w:t>班胡鑫洪同学获得全国职业院校助产专业技术大赛二等奖，</w:t>
      </w:r>
      <w:r>
        <w:rPr>
          <w:rFonts w:ascii="宋体" w:hAnsi="宋体" w:cs="宋体"/>
          <w:color w:val="auto"/>
          <w:kern w:val="0"/>
          <w:sz w:val="24"/>
        </w:rPr>
        <w:t>1511</w:t>
      </w:r>
      <w:r>
        <w:rPr>
          <w:rFonts w:hint="eastAsia" w:ascii="宋体" w:hAnsi="宋体" w:cs="宋体"/>
          <w:color w:val="auto"/>
          <w:kern w:val="0"/>
          <w:sz w:val="24"/>
        </w:rPr>
        <w:t>班吴丽允、季晓蝶、钱幸子、朱佳燕四位同学分别获得全国助产专业技术比赛三等奖。</w:t>
      </w:r>
      <w:r>
        <w:rPr>
          <w:rFonts w:ascii="宋体" w:hAnsi="宋体" w:cs="宋体"/>
          <w:color w:val="auto"/>
          <w:kern w:val="0"/>
          <w:sz w:val="24"/>
        </w:rPr>
        <w:t>30</w:t>
      </w:r>
      <w:r>
        <w:rPr>
          <w:rFonts w:hint="eastAsia" w:ascii="宋体" w:hAnsi="宋体" w:cs="宋体"/>
          <w:color w:val="auto"/>
          <w:kern w:val="0"/>
          <w:sz w:val="24"/>
        </w:rPr>
        <w:t>多人次被评为“海卫小天使”、“技能之星”等荣誉，</w:t>
      </w:r>
      <w:r>
        <w:rPr>
          <w:rFonts w:ascii="宋体" w:hAnsi="宋体" w:cs="宋体"/>
          <w:color w:val="auto"/>
          <w:kern w:val="0"/>
          <w:sz w:val="24"/>
        </w:rPr>
        <w:t>300</w:t>
      </w:r>
      <w:r>
        <w:rPr>
          <w:rFonts w:hint="eastAsia" w:ascii="宋体" w:hAnsi="宋体" w:cs="宋体"/>
          <w:color w:val="auto"/>
          <w:kern w:val="0"/>
          <w:sz w:val="24"/>
        </w:rPr>
        <w:t>多人次获得三好学生、优秀学生干部等荣誉。</w:t>
      </w:r>
    </w:p>
    <w:p>
      <w:pPr>
        <w:adjustRightInd w:val="0"/>
        <w:spacing w:line="360" w:lineRule="auto"/>
        <w:ind w:firstLine="480" w:firstLineChars="200"/>
        <w:jc w:val="left"/>
        <w:rPr>
          <w:rFonts w:hint="eastAsia" w:ascii="宋体" w:hAnsi="宋体" w:cs="宋体"/>
          <w:color w:val="auto"/>
          <w:kern w:val="0"/>
          <w:sz w:val="24"/>
        </w:rPr>
      </w:pPr>
      <w:r>
        <w:rPr>
          <w:rFonts w:hint="eastAsia" w:cs="宋体" w:asciiTheme="minorEastAsia" w:hAnsiTheme="minorEastAsia" w:eastAsiaTheme="minorEastAsia"/>
          <w:color w:val="auto"/>
          <w:kern w:val="0"/>
          <w:sz w:val="24"/>
        </w:rPr>
        <w:t>由校德育工作领导小组为统领，学工处落实学生思想、行为、学习生活等综合品德考核。2017年，在校生中因违纪受到学校处分的8人，占2.7‰；</w:t>
      </w:r>
      <w:r>
        <w:rPr>
          <w:rFonts w:hint="eastAsia" w:ascii="宋体" w:hAnsi="宋体" w:cs="宋体"/>
          <w:color w:val="auto"/>
          <w:kern w:val="0"/>
          <w:sz w:val="24"/>
        </w:rPr>
        <w:t>在校生文化课考试合格率</w:t>
      </w:r>
      <w:r>
        <w:rPr>
          <w:rFonts w:ascii="宋体" w:hAnsi="宋体" w:cs="宋体"/>
          <w:color w:val="auto"/>
          <w:kern w:val="0"/>
          <w:sz w:val="24"/>
        </w:rPr>
        <w:t>96.35%</w:t>
      </w:r>
      <w:r>
        <w:rPr>
          <w:rFonts w:hint="eastAsia" w:ascii="宋体" w:hAnsi="宋体" w:cs="宋体"/>
          <w:color w:val="auto"/>
          <w:kern w:val="0"/>
          <w:sz w:val="24"/>
        </w:rPr>
        <w:t>、执业资格或职业技能证书获取率</w:t>
      </w:r>
      <w:r>
        <w:rPr>
          <w:rFonts w:ascii="宋体" w:hAnsi="宋体" w:cs="宋体"/>
          <w:color w:val="auto"/>
          <w:kern w:val="0"/>
          <w:sz w:val="24"/>
        </w:rPr>
        <w:t>98.40%</w:t>
      </w:r>
      <w:r>
        <w:rPr>
          <w:rFonts w:hint="eastAsia" w:ascii="宋体" w:hAnsi="宋体" w:cs="宋体"/>
          <w:color w:val="auto"/>
          <w:kern w:val="0"/>
          <w:sz w:val="24"/>
        </w:rPr>
        <w:t>、体质测评合格率</w:t>
      </w:r>
      <w:r>
        <w:rPr>
          <w:rFonts w:ascii="宋体" w:hAnsi="宋体" w:cs="宋体"/>
          <w:color w:val="auto"/>
          <w:kern w:val="0"/>
          <w:sz w:val="24"/>
        </w:rPr>
        <w:t>98.40%</w:t>
      </w:r>
      <w:r>
        <w:rPr>
          <w:rFonts w:hint="eastAsia" w:ascii="宋体" w:hAnsi="宋体" w:cs="宋体"/>
          <w:color w:val="auto"/>
          <w:kern w:val="0"/>
          <w:sz w:val="24"/>
        </w:rPr>
        <w:t>、毕业率</w:t>
      </w:r>
      <w:r>
        <w:rPr>
          <w:rFonts w:ascii="宋体" w:hAnsi="宋体" w:cs="宋体"/>
          <w:color w:val="auto"/>
          <w:kern w:val="0"/>
          <w:sz w:val="24"/>
        </w:rPr>
        <w:t>99.55%</w:t>
      </w:r>
      <w:r>
        <w:rPr>
          <w:rFonts w:hint="eastAsia" w:ascii="宋体" w:hAnsi="宋体" w:cs="宋体"/>
          <w:color w:val="auto"/>
          <w:kern w:val="0"/>
          <w:sz w:val="24"/>
        </w:rPr>
        <w:t>。</w:t>
      </w:r>
    </w:p>
    <w:p>
      <w:pPr>
        <w:spacing w:line="360" w:lineRule="auto"/>
        <w:ind w:firstLine="241" w:firstLineChars="100"/>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表5：</w:t>
      </w:r>
      <w:r>
        <w:rPr>
          <w:rFonts w:hint="eastAsia" w:cs="宋体" w:asciiTheme="minorEastAsia" w:hAnsiTheme="minorEastAsia" w:eastAsiaTheme="minorEastAsia"/>
          <w:b/>
          <w:color w:val="auto"/>
          <w:kern w:val="0"/>
          <w:sz w:val="24"/>
          <w:lang w:eastAsia="zh-CN"/>
        </w:rPr>
        <w:t>201</w:t>
      </w:r>
      <w:r>
        <w:rPr>
          <w:rFonts w:hint="eastAsia" w:cs="宋体" w:asciiTheme="minorEastAsia" w:hAnsiTheme="minorEastAsia" w:eastAsiaTheme="minorEastAsia"/>
          <w:b/>
          <w:color w:val="auto"/>
          <w:kern w:val="0"/>
          <w:sz w:val="24"/>
          <w:lang w:val="en-US" w:eastAsia="zh-CN"/>
        </w:rPr>
        <w:t>7</w:t>
      </w:r>
      <w:r>
        <w:rPr>
          <w:rFonts w:hint="eastAsia" w:cs="宋体" w:asciiTheme="minorEastAsia" w:hAnsiTheme="minorEastAsia" w:eastAsiaTheme="minorEastAsia"/>
          <w:b/>
          <w:color w:val="auto"/>
          <w:kern w:val="0"/>
          <w:sz w:val="24"/>
        </w:rPr>
        <w:t>、201</w:t>
      </w:r>
      <w:r>
        <w:rPr>
          <w:rFonts w:hint="eastAsia" w:cs="宋体" w:asciiTheme="minorEastAsia" w:hAnsiTheme="minorEastAsia" w:eastAsiaTheme="minorEastAsia"/>
          <w:b/>
          <w:color w:val="auto"/>
          <w:kern w:val="0"/>
          <w:sz w:val="24"/>
          <w:lang w:val="en-US" w:eastAsia="zh-CN"/>
        </w:rPr>
        <w:t>6</w:t>
      </w:r>
      <w:r>
        <w:rPr>
          <w:rFonts w:hint="eastAsia" w:cs="宋体" w:asciiTheme="minorEastAsia" w:hAnsiTheme="minorEastAsia" w:eastAsiaTheme="minorEastAsia"/>
          <w:b/>
          <w:color w:val="auto"/>
          <w:kern w:val="0"/>
          <w:sz w:val="24"/>
        </w:rPr>
        <w:t>年度学生素质情况主要指标比对表</w:t>
      </w:r>
    </w:p>
    <w:tbl>
      <w:tblPr>
        <w:tblStyle w:val="14"/>
        <w:tblW w:w="9654" w:type="dxa"/>
        <w:tblInd w:w="0" w:type="dxa"/>
        <w:tblLayout w:type="fixed"/>
        <w:tblCellMar>
          <w:top w:w="15" w:type="dxa"/>
          <w:left w:w="15" w:type="dxa"/>
          <w:bottom w:w="15" w:type="dxa"/>
          <w:right w:w="15" w:type="dxa"/>
        </w:tblCellMar>
      </w:tblPr>
      <w:tblGrid>
        <w:gridCol w:w="1331"/>
        <w:gridCol w:w="1661"/>
        <w:gridCol w:w="2552"/>
        <w:gridCol w:w="1984"/>
        <w:gridCol w:w="2126"/>
      </w:tblGrid>
      <w:tr>
        <w:tblPrEx>
          <w:tblLayout w:type="fixed"/>
          <w:tblCellMar>
            <w:top w:w="15" w:type="dxa"/>
            <w:left w:w="15" w:type="dxa"/>
            <w:bottom w:w="15" w:type="dxa"/>
            <w:right w:w="15" w:type="dxa"/>
          </w:tblCellMar>
        </w:tblPrEx>
        <w:trPr>
          <w:trHeight w:val="761" w:hRule="atLeast"/>
        </w:trPr>
        <w:tc>
          <w:tcPr>
            <w:tcW w:w="1331" w:type="dxa"/>
            <w:tcBorders>
              <w:top w:val="single" w:color="auto"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宋体"/>
                <w:color w:val="auto"/>
                <w:kern w:val="0"/>
                <w:sz w:val="24"/>
              </w:rPr>
            </w:pPr>
            <w:r>
              <w:rPr>
                <w:rFonts w:hint="eastAsia" w:ascii="仿宋" w:hAnsi="仿宋" w:eastAsia="仿宋" w:cs="宋体"/>
                <w:color w:val="auto"/>
                <w:kern w:val="0"/>
                <w:sz w:val="24"/>
              </w:rPr>
              <w:t>年份</w:t>
            </w:r>
          </w:p>
        </w:tc>
        <w:tc>
          <w:tcPr>
            <w:tcW w:w="1661"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宋体"/>
                <w:color w:val="auto"/>
                <w:kern w:val="0"/>
                <w:sz w:val="24"/>
              </w:rPr>
            </w:pPr>
            <w:r>
              <w:rPr>
                <w:rFonts w:hint="eastAsia" w:ascii="仿宋" w:hAnsi="仿宋" w:eastAsia="仿宋" w:cs="宋体"/>
                <w:color w:val="auto"/>
                <w:kern w:val="0"/>
                <w:sz w:val="24"/>
              </w:rPr>
              <w:t>文化课合格率</w:t>
            </w:r>
          </w:p>
        </w:tc>
        <w:tc>
          <w:tcPr>
            <w:tcW w:w="255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宋体"/>
                <w:color w:val="auto"/>
                <w:kern w:val="0"/>
                <w:sz w:val="24"/>
              </w:rPr>
            </w:pPr>
            <w:r>
              <w:rPr>
                <w:rFonts w:hint="eastAsia" w:ascii="仿宋" w:hAnsi="仿宋" w:eastAsia="仿宋" w:cs="宋体"/>
                <w:color w:val="auto"/>
                <w:kern w:val="0"/>
                <w:sz w:val="24"/>
              </w:rPr>
              <w:t>执业资格或职业技能</w:t>
            </w:r>
          </w:p>
          <w:p>
            <w:pPr>
              <w:adjustRightInd w:val="0"/>
              <w:jc w:val="center"/>
              <w:textAlignment w:val="center"/>
              <w:rPr>
                <w:rFonts w:ascii="仿宋" w:hAnsi="仿宋" w:eastAsia="仿宋" w:cs="宋体"/>
                <w:color w:val="auto"/>
                <w:kern w:val="0"/>
                <w:sz w:val="24"/>
              </w:rPr>
            </w:pPr>
            <w:r>
              <w:rPr>
                <w:rFonts w:hint="eastAsia" w:ascii="仿宋" w:hAnsi="仿宋" w:eastAsia="仿宋" w:cs="宋体"/>
                <w:color w:val="auto"/>
                <w:kern w:val="0"/>
                <w:sz w:val="24"/>
              </w:rPr>
              <w:t>证书获证率</w:t>
            </w: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宋体"/>
                <w:color w:val="auto"/>
                <w:kern w:val="0"/>
                <w:sz w:val="24"/>
              </w:rPr>
            </w:pPr>
            <w:r>
              <w:rPr>
                <w:rFonts w:hint="eastAsia" w:ascii="仿宋" w:hAnsi="仿宋" w:eastAsia="仿宋" w:cs="宋体"/>
                <w:color w:val="auto"/>
                <w:kern w:val="0"/>
                <w:sz w:val="24"/>
              </w:rPr>
              <w:t>国家体质测试</w:t>
            </w:r>
          </w:p>
          <w:p>
            <w:pPr>
              <w:adjustRightInd w:val="0"/>
              <w:jc w:val="center"/>
              <w:textAlignment w:val="center"/>
              <w:rPr>
                <w:rFonts w:ascii="仿宋" w:hAnsi="仿宋" w:eastAsia="仿宋" w:cs="宋体"/>
                <w:color w:val="auto"/>
                <w:kern w:val="0"/>
                <w:sz w:val="24"/>
              </w:rPr>
            </w:pPr>
            <w:r>
              <w:rPr>
                <w:rFonts w:hint="eastAsia" w:ascii="仿宋" w:hAnsi="仿宋" w:eastAsia="仿宋" w:cs="宋体"/>
                <w:color w:val="auto"/>
                <w:kern w:val="0"/>
                <w:sz w:val="24"/>
              </w:rPr>
              <w:t>合格率</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宋体"/>
                <w:color w:val="auto"/>
                <w:kern w:val="0"/>
                <w:sz w:val="24"/>
              </w:rPr>
            </w:pPr>
            <w:r>
              <w:rPr>
                <w:rFonts w:hint="eastAsia" w:ascii="仿宋" w:hAnsi="仿宋" w:eastAsia="仿宋" w:cs="宋体"/>
                <w:color w:val="auto"/>
                <w:kern w:val="0"/>
                <w:sz w:val="24"/>
              </w:rPr>
              <w:t>应届学生毕业率</w:t>
            </w:r>
          </w:p>
        </w:tc>
      </w:tr>
      <w:tr>
        <w:tblPrEx>
          <w:tblLayout w:type="fixed"/>
          <w:tblCellMar>
            <w:top w:w="15" w:type="dxa"/>
            <w:left w:w="15" w:type="dxa"/>
            <w:bottom w:w="15" w:type="dxa"/>
            <w:right w:w="15" w:type="dxa"/>
          </w:tblCellMar>
        </w:tblPrEx>
        <w:trPr>
          <w:trHeight w:val="558" w:hRule="atLeast"/>
        </w:trPr>
        <w:tc>
          <w:tcPr>
            <w:tcW w:w="1331"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lang w:eastAsia="zh-CN"/>
              </w:rPr>
              <w:t>201</w:t>
            </w:r>
            <w:r>
              <w:rPr>
                <w:rFonts w:hint="eastAsia" w:ascii="仿宋" w:hAnsi="仿宋" w:eastAsia="仿宋" w:cs="仿宋_GB2312"/>
                <w:color w:val="auto"/>
                <w:kern w:val="0"/>
                <w:sz w:val="24"/>
                <w:lang w:val="en-US" w:eastAsia="zh-CN"/>
              </w:rPr>
              <w:t>7</w:t>
            </w:r>
            <w:r>
              <w:rPr>
                <w:rFonts w:hint="eastAsia" w:ascii="仿宋" w:hAnsi="仿宋" w:eastAsia="仿宋" w:cs="仿宋_GB2312"/>
                <w:color w:val="auto"/>
                <w:kern w:val="0"/>
                <w:sz w:val="24"/>
              </w:rPr>
              <w:t>年</w:t>
            </w:r>
          </w:p>
        </w:tc>
        <w:tc>
          <w:tcPr>
            <w:tcW w:w="1661"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96.3</w:t>
            </w:r>
            <w:r>
              <w:rPr>
                <w:rFonts w:hint="eastAsia" w:ascii="仿宋" w:hAnsi="仿宋" w:eastAsia="仿宋" w:cs="仿宋_GB2312"/>
                <w:color w:val="auto"/>
                <w:kern w:val="0"/>
                <w:sz w:val="24"/>
                <w:lang w:val="en-US" w:eastAsia="zh-CN"/>
              </w:rPr>
              <w:t>5</w:t>
            </w:r>
            <w:r>
              <w:rPr>
                <w:rFonts w:hint="eastAsia" w:ascii="仿宋" w:hAnsi="仿宋" w:eastAsia="仿宋" w:cs="仿宋_GB2312"/>
                <w:color w:val="auto"/>
                <w:kern w:val="0"/>
                <w:sz w:val="24"/>
              </w:rPr>
              <w:t>%</w:t>
            </w:r>
          </w:p>
        </w:tc>
        <w:tc>
          <w:tcPr>
            <w:tcW w:w="255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9</w:t>
            </w:r>
            <w:r>
              <w:rPr>
                <w:rFonts w:hint="eastAsia" w:ascii="仿宋" w:hAnsi="仿宋" w:eastAsia="仿宋" w:cs="仿宋_GB2312"/>
                <w:color w:val="auto"/>
                <w:kern w:val="0"/>
                <w:sz w:val="24"/>
                <w:lang w:val="en-US" w:eastAsia="zh-CN"/>
              </w:rPr>
              <w:t>8</w:t>
            </w:r>
            <w:r>
              <w:rPr>
                <w:rFonts w:hint="eastAsia" w:ascii="仿宋" w:hAnsi="仿宋" w:eastAsia="仿宋" w:cs="仿宋_GB2312"/>
                <w:color w:val="auto"/>
                <w:kern w:val="0"/>
                <w:sz w:val="24"/>
              </w:rPr>
              <w:t>.</w:t>
            </w:r>
            <w:r>
              <w:rPr>
                <w:rFonts w:hint="eastAsia" w:ascii="仿宋" w:hAnsi="仿宋" w:eastAsia="仿宋" w:cs="仿宋_GB2312"/>
                <w:color w:val="auto"/>
                <w:kern w:val="0"/>
                <w:sz w:val="24"/>
                <w:lang w:val="en-US" w:eastAsia="zh-CN"/>
              </w:rPr>
              <w:t>40</w:t>
            </w:r>
            <w:r>
              <w:rPr>
                <w:rFonts w:hint="eastAsia" w:ascii="仿宋" w:hAnsi="仿宋" w:eastAsia="仿宋" w:cs="仿宋_GB2312"/>
                <w:color w:val="auto"/>
                <w:kern w:val="0"/>
                <w:sz w:val="24"/>
              </w:rPr>
              <w:t>%</w:t>
            </w: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98.</w:t>
            </w:r>
            <w:r>
              <w:rPr>
                <w:rFonts w:hint="eastAsia" w:ascii="仿宋" w:hAnsi="仿宋" w:eastAsia="仿宋" w:cs="仿宋_GB2312"/>
                <w:color w:val="auto"/>
                <w:kern w:val="0"/>
                <w:sz w:val="24"/>
                <w:lang w:val="en-US" w:eastAsia="zh-CN"/>
              </w:rPr>
              <w:t>40</w:t>
            </w:r>
            <w:r>
              <w:rPr>
                <w:rFonts w:hint="eastAsia" w:ascii="仿宋" w:hAnsi="仿宋" w:eastAsia="仿宋" w:cs="仿宋_GB2312"/>
                <w:color w:val="auto"/>
                <w:kern w:val="0"/>
                <w:sz w:val="24"/>
              </w:rPr>
              <w:t>%</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99.</w:t>
            </w:r>
            <w:r>
              <w:rPr>
                <w:rFonts w:hint="eastAsia" w:ascii="仿宋" w:hAnsi="仿宋" w:eastAsia="仿宋" w:cs="仿宋_GB2312"/>
                <w:color w:val="auto"/>
                <w:kern w:val="0"/>
                <w:sz w:val="24"/>
                <w:lang w:val="en-US" w:eastAsia="zh-CN"/>
              </w:rPr>
              <w:t>5</w:t>
            </w:r>
            <w:r>
              <w:rPr>
                <w:rFonts w:hint="eastAsia" w:ascii="仿宋" w:hAnsi="仿宋" w:eastAsia="仿宋" w:cs="仿宋_GB2312"/>
                <w:color w:val="auto"/>
                <w:kern w:val="0"/>
                <w:sz w:val="24"/>
              </w:rPr>
              <w:t>5%</w:t>
            </w:r>
          </w:p>
        </w:tc>
      </w:tr>
      <w:tr>
        <w:tblPrEx>
          <w:tblLayout w:type="fixed"/>
          <w:tblCellMar>
            <w:top w:w="15" w:type="dxa"/>
            <w:left w:w="15" w:type="dxa"/>
            <w:bottom w:w="15" w:type="dxa"/>
            <w:right w:w="15" w:type="dxa"/>
          </w:tblCellMar>
        </w:tblPrEx>
        <w:trPr>
          <w:trHeight w:val="558" w:hRule="atLeast"/>
        </w:trPr>
        <w:tc>
          <w:tcPr>
            <w:tcW w:w="1331"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lang w:eastAsia="zh-CN"/>
              </w:rPr>
              <w:t>201</w:t>
            </w:r>
            <w:r>
              <w:rPr>
                <w:rFonts w:hint="eastAsia" w:ascii="仿宋" w:hAnsi="仿宋" w:eastAsia="仿宋" w:cs="仿宋_GB2312"/>
                <w:color w:val="auto"/>
                <w:kern w:val="0"/>
                <w:sz w:val="24"/>
                <w:lang w:val="en-US" w:eastAsia="zh-CN"/>
              </w:rPr>
              <w:t>6</w:t>
            </w:r>
            <w:r>
              <w:rPr>
                <w:rFonts w:hint="eastAsia" w:ascii="仿宋" w:hAnsi="仿宋" w:eastAsia="仿宋" w:cs="仿宋_GB2312"/>
                <w:color w:val="auto"/>
                <w:kern w:val="0"/>
                <w:sz w:val="24"/>
              </w:rPr>
              <w:t>年</w:t>
            </w:r>
          </w:p>
        </w:tc>
        <w:tc>
          <w:tcPr>
            <w:tcW w:w="1661"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96.31%</w:t>
            </w:r>
          </w:p>
        </w:tc>
        <w:tc>
          <w:tcPr>
            <w:tcW w:w="255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99.74%</w:t>
            </w: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98.68%</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99.65%</w:t>
            </w:r>
          </w:p>
        </w:tc>
      </w:tr>
    </w:tbl>
    <w:p>
      <w:pPr>
        <w:pStyle w:val="3"/>
        <w:keepNext w:val="0"/>
        <w:keepLines w:val="0"/>
        <w:adjustRightInd w:val="0"/>
        <w:spacing w:line="360" w:lineRule="auto"/>
        <w:ind w:firstLine="280" w:firstLineChars="100"/>
        <w:rPr>
          <w:b w:val="0"/>
          <w:color w:val="auto"/>
          <w:sz w:val="28"/>
          <w:szCs w:val="28"/>
        </w:rPr>
      </w:pPr>
      <w:bookmarkStart w:id="13" w:name="_Toc471905908"/>
      <w:bookmarkStart w:id="14" w:name="_Toc17161"/>
      <w:r>
        <w:rPr>
          <w:rFonts w:hint="eastAsia"/>
          <w:b w:val="0"/>
          <w:color w:val="auto"/>
          <w:sz w:val="28"/>
          <w:szCs w:val="28"/>
        </w:rPr>
        <w:t>2.2在校体验</w:t>
      </w:r>
      <w:bookmarkEnd w:id="13"/>
    </w:p>
    <w:p>
      <w:pPr>
        <w:pStyle w:val="13"/>
        <w:adjustRightInd w:val="0"/>
        <w:snapToGrid w:val="0"/>
        <w:spacing w:beforeAutospacing="0" w:afterAutospacing="0"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lang w:eastAsia="zh-CN"/>
        </w:rPr>
        <w:t>2017</w:t>
      </w:r>
      <w:r>
        <w:rPr>
          <w:rFonts w:hint="eastAsia" w:cs="宋体" w:asciiTheme="minorEastAsia" w:hAnsiTheme="minorEastAsia" w:eastAsiaTheme="minorEastAsia"/>
          <w:color w:val="auto"/>
        </w:rPr>
        <w:t>年，学校通过学工处、教务处、总务处等职能处室以及膳管会、宿管会等学生参与组织，及时了解和掌握学生日常学习、生活情况，召开学生座谈会两次，全面收集和了解学生对教学、学生管理、生活后勤保障等各方面信息和意见，并通过全校学生参与的学生评教、班主任民主测评、生活后勤调查等形式对学生理论学习、专业学习、实训实习、生活等各方面进行满意度调查。</w:t>
      </w:r>
    </w:p>
    <w:p>
      <w:pPr>
        <w:pStyle w:val="13"/>
        <w:adjustRightInd w:val="0"/>
        <w:snapToGrid w:val="0"/>
        <w:spacing w:beforeAutospacing="0" w:afterAutospacing="0" w:line="360" w:lineRule="auto"/>
        <w:ind w:firstLine="240" w:firstLineChars="100"/>
        <w:rPr>
          <w:rFonts w:ascii="宋体" w:hAnsi="宋体" w:cs="宋体"/>
          <w:b/>
          <w:color w:val="auto"/>
        </w:rPr>
      </w:pPr>
      <w:r>
        <w:rPr>
          <w:rFonts w:ascii="宋体" w:hAnsi="宋体" w:cs="宋体"/>
          <w:color w:val="auto"/>
        </w:rPr>
        <w:drawing>
          <wp:anchor distT="0" distB="0" distL="114300" distR="114300" simplePos="0" relativeHeight="251658240" behindDoc="0" locked="0" layoutInCell="1" allowOverlap="1">
            <wp:simplePos x="0" y="0"/>
            <wp:positionH relativeFrom="column">
              <wp:posOffset>17145</wp:posOffset>
            </wp:positionH>
            <wp:positionV relativeFrom="paragraph">
              <wp:posOffset>328930</wp:posOffset>
            </wp:positionV>
            <wp:extent cx="6198235" cy="3041650"/>
            <wp:effectExtent l="0" t="0" r="12065" b="2540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宋体" w:hAnsi="宋体" w:cs="宋体"/>
          <w:b/>
          <w:color w:val="auto"/>
        </w:rPr>
        <w:t>表6：</w:t>
      </w:r>
      <w:r>
        <w:rPr>
          <w:rFonts w:hint="eastAsia" w:ascii="宋体" w:hAnsi="宋体" w:cs="宋体"/>
          <w:b/>
          <w:color w:val="auto"/>
          <w:lang w:eastAsia="zh-CN"/>
        </w:rPr>
        <w:t>2017</w:t>
      </w:r>
      <w:r>
        <w:rPr>
          <w:rFonts w:hint="eastAsia" w:ascii="宋体" w:hAnsi="宋体" w:cs="宋体"/>
          <w:b/>
          <w:color w:val="auto"/>
        </w:rPr>
        <w:t>年度学生在校体验各项满意度指标调查情况</w:t>
      </w:r>
    </w:p>
    <w:p>
      <w:pPr>
        <w:pStyle w:val="3"/>
        <w:keepNext w:val="0"/>
        <w:keepLines w:val="0"/>
        <w:adjustRightInd w:val="0"/>
        <w:spacing w:before="156" w:beforeLines="50" w:line="360" w:lineRule="auto"/>
        <w:ind w:firstLine="280" w:firstLineChars="100"/>
        <w:rPr>
          <w:b w:val="0"/>
          <w:color w:val="auto"/>
          <w:sz w:val="28"/>
          <w:szCs w:val="28"/>
        </w:rPr>
      </w:pPr>
      <w:bookmarkStart w:id="15" w:name="_Toc471905909"/>
      <w:r>
        <w:rPr>
          <w:rFonts w:hint="eastAsia"/>
          <w:b w:val="0"/>
          <w:color w:val="auto"/>
          <w:sz w:val="28"/>
          <w:szCs w:val="28"/>
        </w:rPr>
        <w:t>2.3资助情况</w:t>
      </w:r>
      <w:bookmarkEnd w:id="15"/>
    </w:p>
    <w:p>
      <w:pPr>
        <w:adjustRightInd w:val="0"/>
        <w:spacing w:line="360" w:lineRule="auto"/>
        <w:ind w:firstLine="480" w:firstLineChars="200"/>
        <w:outlineLvl w:val="1"/>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由校学生资助工作领导小组牵头，落实了国家资助工作政策，建立健全家庭经济困难学生资助体系，并制定《海宁卫生学校奖、助学金制度》，形成了以国家资助为基础、以学校助学奖励为特色的完整资助体系。在制度落实中明确各处室管理职责，规范申报、审批、公示、发放等工作规程。2017年，共有192人次获得国家助学金，85人次获得学校天使助学金。</w:t>
      </w:r>
    </w:p>
    <w:p>
      <w:pPr>
        <w:adjustRightInd w:val="0"/>
        <w:spacing w:line="360" w:lineRule="auto"/>
        <w:ind w:firstLine="480" w:firstLineChars="200"/>
        <w:outlineLvl w:val="1"/>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创新开展“天使导学”项目。通过思想引导、心理疏导、行为督导和家庭指导，对经济贫困、学习困难、思想行为等方面有待提升的同学进行“一对一”学业的辅导、生活的关爱、心理的疏导和职业指导，从而达到身心共育、精准助学，共筑“天使梦”的资助目标。</w:t>
      </w:r>
    </w:p>
    <w:p>
      <w:pPr>
        <w:pStyle w:val="3"/>
        <w:keepNext w:val="0"/>
        <w:keepLines w:val="0"/>
        <w:adjustRightInd w:val="0"/>
        <w:spacing w:line="360" w:lineRule="auto"/>
        <w:ind w:firstLine="280" w:firstLineChars="100"/>
        <w:rPr>
          <w:rFonts w:hint="eastAsia"/>
          <w:b w:val="0"/>
          <w:color w:val="auto"/>
          <w:sz w:val="28"/>
          <w:szCs w:val="28"/>
        </w:rPr>
      </w:pPr>
      <w:bookmarkStart w:id="16" w:name="_Toc471905912"/>
      <w:r>
        <w:rPr>
          <w:rFonts w:hint="eastAsia"/>
          <w:b w:val="0"/>
          <w:color w:val="auto"/>
          <w:sz w:val="28"/>
          <w:szCs w:val="28"/>
        </w:rPr>
        <w:t>2.4就业质量</w:t>
      </w:r>
      <w:bookmarkEnd w:id="16"/>
    </w:p>
    <w:p>
      <w:pPr>
        <w:pStyle w:val="3"/>
        <w:keepNext w:val="0"/>
        <w:keepLines w:val="0"/>
        <w:adjustRightInd w:val="0"/>
        <w:spacing w:line="360" w:lineRule="auto"/>
        <w:ind w:firstLine="480" w:firstLineChars="200"/>
        <w:rPr>
          <w:rFonts w:ascii="宋体" w:hAnsi="宋体" w:eastAsia="宋体" w:cs="宋体"/>
          <w:b w:val="0"/>
          <w:color w:val="auto"/>
          <w:kern w:val="0"/>
          <w:sz w:val="24"/>
        </w:rPr>
      </w:pPr>
      <w:r>
        <w:rPr>
          <w:rFonts w:hint="eastAsia" w:ascii="宋体" w:hAnsi="宋体" w:eastAsia="宋体" w:cs="宋体"/>
          <w:b w:val="0"/>
          <w:color w:val="auto"/>
          <w:kern w:val="0"/>
          <w:sz w:val="24"/>
        </w:rPr>
        <w:t>2017年毕业生共计</w:t>
      </w:r>
      <w:r>
        <w:rPr>
          <w:rFonts w:ascii="宋体" w:hAnsi="宋体" w:eastAsia="宋体" w:cs="宋体"/>
          <w:b w:val="0"/>
          <w:color w:val="auto"/>
          <w:kern w:val="0"/>
          <w:sz w:val="24"/>
        </w:rPr>
        <w:t>853</w:t>
      </w:r>
      <w:r>
        <w:rPr>
          <w:rFonts w:hint="eastAsia" w:ascii="宋体" w:hAnsi="宋体" w:eastAsia="宋体" w:cs="宋体"/>
          <w:b w:val="0"/>
          <w:color w:val="auto"/>
          <w:kern w:val="0"/>
          <w:sz w:val="24"/>
        </w:rPr>
        <w:t>人，其中直接就业229人，占26.85%，升入高等教育</w:t>
      </w:r>
      <w:r>
        <w:rPr>
          <w:rFonts w:ascii="宋体" w:hAnsi="宋体" w:eastAsia="宋体" w:cs="宋体"/>
          <w:b w:val="0"/>
          <w:color w:val="auto"/>
          <w:kern w:val="0"/>
          <w:sz w:val="24"/>
        </w:rPr>
        <w:t>621</w:t>
      </w:r>
      <w:r>
        <w:rPr>
          <w:rFonts w:hint="eastAsia" w:ascii="宋体" w:hAnsi="宋体" w:eastAsia="宋体" w:cs="宋体"/>
          <w:b w:val="0"/>
          <w:color w:val="auto"/>
          <w:kern w:val="0"/>
          <w:sz w:val="24"/>
        </w:rPr>
        <w:t>人，占72.80%，其中本科111人，总就业/升学率达73.06%，对口就业/升学率达</w:t>
      </w:r>
      <w:r>
        <w:rPr>
          <w:rFonts w:ascii="宋体" w:hAnsi="宋体" w:eastAsia="宋体" w:cs="宋体"/>
          <w:b w:val="0"/>
          <w:color w:val="auto"/>
          <w:kern w:val="0"/>
          <w:sz w:val="24"/>
        </w:rPr>
        <w:t>77.46</w:t>
      </w:r>
      <w:r>
        <w:rPr>
          <w:rFonts w:hint="eastAsia" w:ascii="宋体" w:hAnsi="宋体" w:eastAsia="宋体" w:cs="宋体"/>
          <w:b w:val="0"/>
          <w:color w:val="auto"/>
          <w:kern w:val="0"/>
          <w:sz w:val="24"/>
        </w:rPr>
        <w:t>%，初次就业起薪平均为</w:t>
      </w:r>
      <w:r>
        <w:rPr>
          <w:rFonts w:ascii="宋体" w:hAnsi="宋体" w:eastAsia="宋体" w:cs="宋体"/>
          <w:b w:val="0"/>
          <w:color w:val="auto"/>
          <w:kern w:val="0"/>
          <w:sz w:val="24"/>
        </w:rPr>
        <w:t>3211</w:t>
      </w:r>
      <w:r>
        <w:rPr>
          <w:rFonts w:hint="eastAsia" w:ascii="宋体" w:hAnsi="宋体" w:eastAsia="宋体" w:cs="宋体"/>
          <w:b w:val="0"/>
          <w:color w:val="auto"/>
          <w:kern w:val="0"/>
          <w:sz w:val="24"/>
        </w:rPr>
        <w:t>元。</w:t>
      </w:r>
    </w:p>
    <w:p>
      <w:pPr>
        <w:pStyle w:val="3"/>
        <w:keepNext w:val="0"/>
        <w:keepLines w:val="0"/>
        <w:adjustRightInd w:val="0"/>
        <w:spacing w:line="360" w:lineRule="auto"/>
        <w:ind w:firstLine="482" w:firstLineChars="200"/>
        <w:rPr>
          <w:rFonts w:ascii="宋体" w:hAnsi="宋体" w:eastAsia="宋体" w:cs="宋体"/>
          <w:color w:val="auto"/>
          <w:kern w:val="0"/>
          <w:sz w:val="24"/>
        </w:rPr>
      </w:pPr>
      <w:r>
        <w:rPr>
          <w:rFonts w:hint="eastAsia" w:ascii="宋体" w:hAnsi="宋体" w:eastAsia="宋体" w:cs="宋体"/>
          <w:color w:val="auto"/>
          <w:kern w:val="0"/>
          <w:sz w:val="24"/>
        </w:rPr>
        <w:t>表7：2016年、2015年度各专业毕业生就业/升学情况汇总比对表</w:t>
      </w:r>
    </w:p>
    <w:tbl>
      <w:tblPr>
        <w:tblStyle w:val="14"/>
        <w:tblW w:w="10318" w:type="dxa"/>
        <w:tblInd w:w="0" w:type="dxa"/>
        <w:tblLayout w:type="fixed"/>
        <w:tblCellMar>
          <w:top w:w="15" w:type="dxa"/>
          <w:left w:w="15" w:type="dxa"/>
          <w:bottom w:w="15" w:type="dxa"/>
          <w:right w:w="15" w:type="dxa"/>
        </w:tblCellMar>
      </w:tblPr>
      <w:tblGrid>
        <w:gridCol w:w="866"/>
        <w:gridCol w:w="1984"/>
        <w:gridCol w:w="993"/>
        <w:gridCol w:w="1134"/>
        <w:gridCol w:w="1134"/>
        <w:gridCol w:w="1275"/>
        <w:gridCol w:w="1089"/>
        <w:gridCol w:w="1843"/>
      </w:tblGrid>
      <w:tr>
        <w:tblPrEx>
          <w:tblLayout w:type="fixed"/>
          <w:tblCellMar>
            <w:top w:w="15" w:type="dxa"/>
            <w:left w:w="15" w:type="dxa"/>
            <w:bottom w:w="15" w:type="dxa"/>
            <w:right w:w="15" w:type="dxa"/>
          </w:tblCellMar>
        </w:tblPrEx>
        <w:trPr>
          <w:trHeight w:val="62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年份</w:t>
            </w: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专  业</w:t>
            </w:r>
          </w:p>
        </w:tc>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护理</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药剂</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医学检验技术</w:t>
            </w: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医学影像</w:t>
            </w:r>
          </w:p>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技术</w:t>
            </w:r>
          </w:p>
        </w:tc>
        <w:tc>
          <w:tcPr>
            <w:tcW w:w="1089" w:type="dxa"/>
            <w:tcBorders>
              <w:top w:val="single" w:color="000000" w:sz="4" w:space="0"/>
              <w:left w:val="single" w:color="000000" w:sz="4" w:space="0"/>
              <w:bottom w:val="single" w:color="000000" w:sz="4" w:space="0"/>
              <w:right w:val="single" w:color="000000" w:sz="4" w:space="0"/>
            </w:tcBorders>
            <w:vAlign w:val="center"/>
          </w:tcPr>
          <w:p>
            <w:pPr>
              <w:adjustRightInd w:val="0"/>
              <w:textAlignment w:val="center"/>
              <w:rPr>
                <w:rFonts w:hint="eastAsia" w:ascii="仿宋" w:hAnsi="仿宋" w:eastAsia="仿宋" w:cs="仿宋_GB2312"/>
                <w:color w:val="auto"/>
                <w:kern w:val="0"/>
                <w:sz w:val="24"/>
                <w:lang w:eastAsia="zh-CN"/>
              </w:rPr>
            </w:pPr>
            <w:r>
              <w:rPr>
                <w:rFonts w:hint="eastAsia" w:ascii="仿宋" w:hAnsi="仿宋" w:eastAsia="仿宋" w:cs="仿宋_GB2312"/>
                <w:color w:val="auto"/>
                <w:kern w:val="0"/>
                <w:sz w:val="24"/>
                <w:lang w:val="en-US" w:eastAsia="zh-CN"/>
              </w:rPr>
              <w:t xml:space="preserve">   </w:t>
            </w:r>
            <w:r>
              <w:rPr>
                <w:rFonts w:hint="eastAsia" w:ascii="仿宋" w:hAnsi="仿宋" w:eastAsia="仿宋" w:cs="仿宋_GB2312"/>
                <w:color w:val="auto"/>
                <w:kern w:val="0"/>
                <w:sz w:val="24"/>
                <w:lang w:eastAsia="zh-CN"/>
              </w:rPr>
              <w:t>助产</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合计/平均</w:t>
            </w:r>
          </w:p>
        </w:tc>
      </w:tr>
      <w:tr>
        <w:tblPrEx>
          <w:tblLayout w:type="fixed"/>
          <w:tblCellMar>
            <w:top w:w="15" w:type="dxa"/>
            <w:left w:w="15" w:type="dxa"/>
            <w:bottom w:w="15" w:type="dxa"/>
            <w:right w:w="15" w:type="dxa"/>
          </w:tblCellMar>
        </w:tblPrEx>
        <w:trPr>
          <w:trHeight w:val="494" w:hRule="atLeast"/>
        </w:trPr>
        <w:tc>
          <w:tcPr>
            <w:tcW w:w="866" w:type="dxa"/>
            <w:vMerge w:val="restart"/>
            <w:tcBorders>
              <w:top w:val="single" w:color="000000" w:sz="4" w:space="0"/>
              <w:left w:val="single" w:color="000000" w:sz="4" w:space="0"/>
              <w:right w:val="single" w:color="000000" w:sz="4" w:space="0"/>
            </w:tcBorders>
            <w:vAlign w:val="center"/>
          </w:tcPr>
          <w:p>
            <w:pPr>
              <w:adjustRightInd w:val="0"/>
              <w:jc w:val="center"/>
              <w:textAlignment w:val="center"/>
              <w:rPr>
                <w:rFonts w:ascii="仿宋" w:hAnsi="仿宋" w:eastAsia="仿宋" w:cs="仿宋_GB2312"/>
                <w:b/>
                <w:color w:val="auto"/>
                <w:kern w:val="0"/>
                <w:sz w:val="24"/>
              </w:rPr>
            </w:pPr>
            <w:r>
              <w:rPr>
                <w:rFonts w:hint="eastAsia" w:ascii="仿宋" w:hAnsi="仿宋" w:eastAsia="仿宋" w:cs="仿宋_GB2312"/>
                <w:b/>
                <w:color w:val="auto"/>
                <w:kern w:val="0"/>
                <w:sz w:val="24"/>
              </w:rPr>
              <w:t>2017</w:t>
            </w: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毕业生数</w:t>
            </w:r>
          </w:p>
        </w:tc>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560</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171</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63</w:t>
            </w: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0</w:t>
            </w:r>
          </w:p>
        </w:tc>
        <w:tc>
          <w:tcPr>
            <w:tcW w:w="1089" w:type="dxa"/>
            <w:tcBorders>
              <w:top w:val="single" w:color="000000" w:sz="4" w:space="0"/>
              <w:left w:val="single" w:color="000000" w:sz="4" w:space="0"/>
              <w:bottom w:val="single" w:color="000000" w:sz="4" w:space="0"/>
              <w:right w:val="single" w:color="000000" w:sz="4" w:space="0"/>
            </w:tcBorders>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59</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853</w:t>
            </w:r>
          </w:p>
        </w:tc>
      </w:tr>
      <w:tr>
        <w:tblPrEx>
          <w:tblLayout w:type="fixed"/>
          <w:tblCellMar>
            <w:top w:w="15" w:type="dxa"/>
            <w:left w:w="15" w:type="dxa"/>
            <w:bottom w:w="15" w:type="dxa"/>
            <w:right w:w="15" w:type="dxa"/>
          </w:tblCellMar>
        </w:tblPrEx>
        <w:trPr>
          <w:trHeight w:val="516" w:hRule="atLeast"/>
        </w:trPr>
        <w:tc>
          <w:tcPr>
            <w:tcW w:w="866" w:type="dxa"/>
            <w:vMerge w:val="continue"/>
            <w:tcBorders>
              <w:left w:val="single" w:color="000000" w:sz="4" w:space="0"/>
              <w:right w:val="single" w:color="000000" w:sz="4" w:space="0"/>
            </w:tcBorders>
            <w:vAlign w:val="center"/>
          </w:tcPr>
          <w:p>
            <w:pPr>
              <w:adjustRightInd w:val="0"/>
              <w:jc w:val="center"/>
              <w:textAlignment w:val="center"/>
              <w:rPr>
                <w:rFonts w:ascii="仿宋" w:hAnsi="仿宋" w:eastAsia="仿宋" w:cs="仿宋_GB2312"/>
                <w:b/>
                <w:color w:val="auto"/>
                <w:kern w:val="0"/>
                <w:sz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直接就业</w:t>
            </w:r>
          </w:p>
        </w:tc>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152</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9</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25</w:t>
            </w: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0</w:t>
            </w:r>
          </w:p>
        </w:tc>
        <w:tc>
          <w:tcPr>
            <w:tcW w:w="1089" w:type="dxa"/>
            <w:tcBorders>
              <w:top w:val="single" w:color="000000" w:sz="4" w:space="0"/>
              <w:left w:val="single" w:color="000000" w:sz="4" w:space="0"/>
              <w:bottom w:val="single" w:color="000000" w:sz="4" w:space="0"/>
              <w:right w:val="single" w:color="000000" w:sz="4" w:space="0"/>
            </w:tcBorders>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43</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229</w:t>
            </w:r>
          </w:p>
        </w:tc>
      </w:tr>
      <w:tr>
        <w:tblPrEx>
          <w:tblLayout w:type="fixed"/>
          <w:tblCellMar>
            <w:top w:w="15" w:type="dxa"/>
            <w:left w:w="15" w:type="dxa"/>
            <w:bottom w:w="15" w:type="dxa"/>
            <w:right w:w="15" w:type="dxa"/>
          </w:tblCellMar>
        </w:tblPrEx>
        <w:trPr>
          <w:trHeight w:val="538" w:hRule="atLeast"/>
        </w:trPr>
        <w:tc>
          <w:tcPr>
            <w:tcW w:w="866" w:type="dxa"/>
            <w:vMerge w:val="continue"/>
            <w:tcBorders>
              <w:left w:val="single" w:color="000000" w:sz="4" w:space="0"/>
              <w:right w:val="single" w:color="000000" w:sz="4" w:space="0"/>
            </w:tcBorders>
            <w:vAlign w:val="center"/>
          </w:tcPr>
          <w:p>
            <w:pPr>
              <w:adjustRightInd w:val="0"/>
              <w:jc w:val="center"/>
              <w:textAlignment w:val="center"/>
              <w:rPr>
                <w:rFonts w:ascii="仿宋" w:hAnsi="仿宋" w:eastAsia="仿宋" w:cs="仿宋_GB2312"/>
                <w:b/>
                <w:color w:val="auto"/>
                <w:kern w:val="0"/>
                <w:sz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升入高校</w:t>
            </w:r>
          </w:p>
        </w:tc>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408</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162</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36</w:t>
            </w: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0</w:t>
            </w:r>
          </w:p>
        </w:tc>
        <w:tc>
          <w:tcPr>
            <w:tcW w:w="1089" w:type="dxa"/>
            <w:tcBorders>
              <w:top w:val="single" w:color="000000" w:sz="4" w:space="0"/>
              <w:left w:val="single" w:color="000000" w:sz="4" w:space="0"/>
              <w:bottom w:val="single" w:color="000000" w:sz="4" w:space="0"/>
              <w:right w:val="single" w:color="000000" w:sz="4" w:space="0"/>
            </w:tcBorders>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15</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621</w:t>
            </w:r>
          </w:p>
        </w:tc>
      </w:tr>
      <w:tr>
        <w:tblPrEx>
          <w:tblLayout w:type="fixed"/>
          <w:tblCellMar>
            <w:top w:w="15" w:type="dxa"/>
            <w:left w:w="15" w:type="dxa"/>
            <w:bottom w:w="15" w:type="dxa"/>
            <w:right w:w="15" w:type="dxa"/>
          </w:tblCellMar>
        </w:tblPrEx>
        <w:trPr>
          <w:trHeight w:val="538" w:hRule="atLeast"/>
        </w:trPr>
        <w:tc>
          <w:tcPr>
            <w:tcW w:w="866" w:type="dxa"/>
            <w:vMerge w:val="continue"/>
            <w:tcBorders>
              <w:left w:val="single" w:color="000000" w:sz="4" w:space="0"/>
              <w:right w:val="single" w:color="000000" w:sz="4" w:space="0"/>
            </w:tcBorders>
            <w:vAlign w:val="center"/>
          </w:tcPr>
          <w:p>
            <w:pPr>
              <w:adjustRightInd w:val="0"/>
              <w:jc w:val="center"/>
              <w:textAlignment w:val="center"/>
              <w:rPr>
                <w:rFonts w:ascii="仿宋" w:hAnsi="仿宋" w:eastAsia="仿宋" w:cs="仿宋_GB2312"/>
                <w:b/>
                <w:color w:val="auto"/>
                <w:kern w:val="0"/>
                <w:sz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总就业/升学率</w:t>
            </w:r>
          </w:p>
        </w:tc>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72.86</w:t>
            </w:r>
            <w:r>
              <w:rPr>
                <w:rFonts w:hint="eastAsia" w:ascii="仿宋" w:hAnsi="仿宋" w:eastAsia="仿宋" w:cs="仿宋_GB2312"/>
                <w:color w:val="auto"/>
                <w:kern w:val="0"/>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94.74</w:t>
            </w:r>
            <w:r>
              <w:rPr>
                <w:rFonts w:hint="eastAsia" w:ascii="仿宋" w:hAnsi="仿宋" w:eastAsia="仿宋" w:cs="仿宋_GB2312"/>
                <w:color w:val="auto"/>
                <w:kern w:val="0"/>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59.02</w:t>
            </w:r>
            <w:r>
              <w:rPr>
                <w:rFonts w:hint="eastAsia" w:ascii="仿宋" w:hAnsi="仿宋" w:eastAsia="仿宋" w:cs="仿宋_GB2312"/>
                <w:color w:val="auto"/>
                <w:kern w:val="0"/>
                <w:sz w:val="24"/>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0</w:t>
            </w:r>
          </w:p>
        </w:tc>
        <w:tc>
          <w:tcPr>
            <w:tcW w:w="1089" w:type="dxa"/>
            <w:tcBorders>
              <w:top w:val="single" w:color="000000" w:sz="4" w:space="0"/>
              <w:left w:val="single" w:color="000000" w:sz="4" w:space="0"/>
              <w:bottom w:val="single" w:color="000000" w:sz="4" w:space="0"/>
              <w:right w:val="single" w:color="000000" w:sz="4" w:space="0"/>
            </w:tcBorders>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25.86</w:t>
            </w:r>
            <w:r>
              <w:rPr>
                <w:rFonts w:hint="eastAsia" w:ascii="仿宋" w:hAnsi="仿宋" w:eastAsia="仿宋" w:cs="仿宋_GB2312"/>
                <w:color w:val="auto"/>
                <w:kern w:val="0"/>
                <w:sz w:val="24"/>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73.06</w:t>
            </w:r>
            <w:r>
              <w:rPr>
                <w:rFonts w:hint="eastAsia" w:ascii="仿宋" w:hAnsi="仿宋" w:eastAsia="仿宋" w:cs="仿宋_GB2312"/>
                <w:color w:val="auto"/>
                <w:kern w:val="0"/>
                <w:sz w:val="24"/>
              </w:rPr>
              <w:t>%</w:t>
            </w:r>
          </w:p>
        </w:tc>
      </w:tr>
      <w:tr>
        <w:tblPrEx>
          <w:tblLayout w:type="fixed"/>
          <w:tblCellMar>
            <w:top w:w="15" w:type="dxa"/>
            <w:left w:w="15" w:type="dxa"/>
            <w:bottom w:w="15" w:type="dxa"/>
            <w:right w:w="15" w:type="dxa"/>
          </w:tblCellMar>
        </w:tblPrEx>
        <w:trPr>
          <w:trHeight w:val="532" w:hRule="atLeast"/>
        </w:trPr>
        <w:tc>
          <w:tcPr>
            <w:tcW w:w="866" w:type="dxa"/>
            <w:vMerge w:val="continue"/>
            <w:tcBorders>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b/>
                <w:color w:val="auto"/>
                <w:kern w:val="0"/>
                <w:sz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对口就业/升学率</w:t>
            </w:r>
          </w:p>
        </w:tc>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73.78</w:t>
            </w:r>
            <w:r>
              <w:rPr>
                <w:rFonts w:hint="eastAsia" w:ascii="仿宋" w:hAnsi="仿宋" w:eastAsia="仿宋" w:cs="仿宋_GB2312"/>
                <w:color w:val="auto"/>
                <w:kern w:val="0"/>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95.85</w:t>
            </w:r>
            <w:r>
              <w:rPr>
                <w:rFonts w:hint="eastAsia" w:ascii="仿宋" w:hAnsi="仿宋" w:eastAsia="仿宋" w:cs="仿宋_GB2312"/>
                <w:color w:val="auto"/>
                <w:kern w:val="0"/>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63.16</w:t>
            </w:r>
            <w:r>
              <w:rPr>
                <w:rFonts w:hint="eastAsia" w:ascii="仿宋" w:hAnsi="仿宋" w:eastAsia="仿宋" w:cs="仿宋_GB2312"/>
                <w:color w:val="auto"/>
                <w:kern w:val="0"/>
                <w:sz w:val="24"/>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0</w:t>
            </w:r>
          </w:p>
        </w:tc>
        <w:tc>
          <w:tcPr>
            <w:tcW w:w="1089" w:type="dxa"/>
            <w:tcBorders>
              <w:top w:val="single" w:color="000000" w:sz="4" w:space="0"/>
              <w:left w:val="single" w:color="000000" w:sz="4" w:space="0"/>
              <w:bottom w:val="single" w:color="000000" w:sz="4" w:space="0"/>
              <w:right w:val="single" w:color="000000" w:sz="4" w:space="0"/>
            </w:tcBorders>
          </w:tcPr>
          <w:p>
            <w:pPr>
              <w:adjustRightInd w:val="0"/>
              <w:jc w:val="center"/>
              <w:textAlignment w:val="center"/>
              <w:rPr>
                <w:rFonts w:hint="eastAsia" w:ascii="仿宋" w:hAnsi="仿宋" w:eastAsia="仿宋" w:cs="仿宋_GB2312"/>
                <w:color w:val="auto"/>
                <w:kern w:val="0"/>
                <w:sz w:val="24"/>
              </w:rPr>
            </w:pPr>
            <w:r>
              <w:rPr>
                <w:rFonts w:ascii="仿宋" w:hAnsi="仿宋" w:eastAsia="仿宋" w:cs="仿宋_GB2312"/>
                <w:color w:val="auto"/>
                <w:kern w:val="0"/>
                <w:sz w:val="24"/>
              </w:rPr>
              <w:t>27.27</w:t>
            </w:r>
            <w:r>
              <w:rPr>
                <w:rFonts w:hint="eastAsia" w:ascii="仿宋" w:hAnsi="仿宋" w:eastAsia="仿宋" w:cs="仿宋_GB2312"/>
                <w:color w:val="auto"/>
                <w:kern w:val="0"/>
                <w:sz w:val="24"/>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77.46</w:t>
            </w:r>
            <w:r>
              <w:rPr>
                <w:rFonts w:hint="eastAsia" w:ascii="仿宋" w:hAnsi="仿宋" w:eastAsia="仿宋" w:cs="仿宋_GB2312"/>
                <w:color w:val="auto"/>
                <w:kern w:val="0"/>
                <w:sz w:val="24"/>
              </w:rPr>
              <w:t>%</w:t>
            </w:r>
          </w:p>
        </w:tc>
      </w:tr>
      <w:tr>
        <w:tblPrEx>
          <w:tblLayout w:type="fixed"/>
          <w:tblCellMar>
            <w:top w:w="15" w:type="dxa"/>
            <w:left w:w="15" w:type="dxa"/>
            <w:bottom w:w="15" w:type="dxa"/>
            <w:right w:w="15" w:type="dxa"/>
          </w:tblCellMar>
        </w:tblPrEx>
        <w:trPr>
          <w:trHeight w:val="532" w:hRule="atLeast"/>
        </w:trPr>
        <w:tc>
          <w:tcPr>
            <w:tcW w:w="866" w:type="dxa"/>
            <w:vMerge w:val="restart"/>
            <w:tcBorders>
              <w:top w:val="single" w:color="000000" w:sz="4" w:space="0"/>
              <w:left w:val="single" w:color="000000" w:sz="4" w:space="0"/>
              <w:right w:val="single" w:color="000000" w:sz="4" w:space="0"/>
            </w:tcBorders>
            <w:vAlign w:val="center"/>
          </w:tcPr>
          <w:p>
            <w:pPr>
              <w:adjustRightInd w:val="0"/>
              <w:jc w:val="center"/>
              <w:textAlignment w:val="center"/>
              <w:rPr>
                <w:rFonts w:ascii="仿宋" w:hAnsi="仿宋" w:eastAsia="仿宋" w:cs="仿宋_GB2312"/>
                <w:b/>
                <w:color w:val="auto"/>
                <w:kern w:val="0"/>
                <w:sz w:val="24"/>
              </w:rPr>
            </w:pPr>
            <w:r>
              <w:rPr>
                <w:rFonts w:hint="eastAsia" w:ascii="仿宋" w:hAnsi="仿宋" w:eastAsia="仿宋" w:cs="仿宋_GB2312"/>
                <w:b/>
                <w:color w:val="auto"/>
                <w:kern w:val="0"/>
                <w:sz w:val="24"/>
              </w:rPr>
              <w:t>2016</w:t>
            </w: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毕业生数</w:t>
            </w:r>
          </w:p>
        </w:tc>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571</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169</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61</w:t>
            </w: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6</w:t>
            </w:r>
            <w:r>
              <w:rPr>
                <w:rFonts w:ascii="仿宋" w:hAnsi="仿宋" w:eastAsia="仿宋" w:cs="仿宋_GB2312"/>
                <w:color w:val="auto"/>
                <w:kern w:val="0"/>
                <w:sz w:val="24"/>
              </w:rPr>
              <w:t>2</w:t>
            </w:r>
          </w:p>
        </w:tc>
        <w:tc>
          <w:tcPr>
            <w:tcW w:w="1089" w:type="dxa"/>
            <w:tcBorders>
              <w:top w:val="single" w:color="000000" w:sz="4" w:space="0"/>
              <w:left w:val="single" w:color="000000" w:sz="4" w:space="0"/>
              <w:bottom w:val="single" w:color="000000" w:sz="4" w:space="0"/>
              <w:right w:val="single" w:color="000000" w:sz="4" w:space="0"/>
            </w:tcBorders>
          </w:tcPr>
          <w:p>
            <w:pPr>
              <w:adjustRightInd w:val="0"/>
              <w:jc w:val="center"/>
              <w:textAlignment w:val="center"/>
              <w:rPr>
                <w:rFonts w:hint="eastAsia" w:ascii="仿宋" w:hAnsi="仿宋" w:eastAsia="仿宋" w:cs="仿宋_GB2312"/>
                <w:color w:val="auto"/>
                <w:kern w:val="0"/>
                <w:sz w:val="24"/>
              </w:rPr>
            </w:pPr>
            <w:r>
              <w:rPr>
                <w:rFonts w:hint="eastAsia" w:ascii="仿宋" w:hAnsi="仿宋" w:eastAsia="仿宋" w:cs="仿宋_GB2312"/>
                <w:color w:val="auto"/>
                <w:kern w:val="0"/>
                <w:sz w:val="24"/>
              </w:rPr>
              <w:t>0</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863</w:t>
            </w:r>
          </w:p>
        </w:tc>
      </w:tr>
      <w:tr>
        <w:tblPrEx>
          <w:tblLayout w:type="fixed"/>
          <w:tblCellMar>
            <w:top w:w="15" w:type="dxa"/>
            <w:left w:w="15" w:type="dxa"/>
            <w:bottom w:w="15" w:type="dxa"/>
            <w:right w:w="15" w:type="dxa"/>
          </w:tblCellMar>
        </w:tblPrEx>
        <w:trPr>
          <w:trHeight w:val="532" w:hRule="atLeast"/>
        </w:trPr>
        <w:tc>
          <w:tcPr>
            <w:tcW w:w="866" w:type="dxa"/>
            <w:vMerge w:val="continue"/>
            <w:tcBorders>
              <w:left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直接就业</w:t>
            </w:r>
          </w:p>
        </w:tc>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9</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13</w:t>
            </w: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47</w:t>
            </w:r>
          </w:p>
        </w:tc>
        <w:tc>
          <w:tcPr>
            <w:tcW w:w="1089" w:type="dxa"/>
            <w:tcBorders>
              <w:top w:val="single" w:color="000000" w:sz="4" w:space="0"/>
              <w:left w:val="single" w:color="000000" w:sz="4" w:space="0"/>
              <w:bottom w:val="single" w:color="000000" w:sz="4" w:space="0"/>
              <w:right w:val="single" w:color="000000" w:sz="4" w:space="0"/>
            </w:tcBorders>
          </w:tcPr>
          <w:p>
            <w:pPr>
              <w:adjustRightInd w:val="0"/>
              <w:jc w:val="center"/>
              <w:textAlignment w:val="center"/>
              <w:rPr>
                <w:rFonts w:hint="eastAsia" w:ascii="仿宋" w:hAnsi="仿宋" w:eastAsia="仿宋" w:cs="仿宋_GB2312"/>
                <w:color w:val="auto"/>
                <w:kern w:val="0"/>
                <w:sz w:val="24"/>
              </w:rPr>
            </w:pPr>
            <w:r>
              <w:rPr>
                <w:rFonts w:hint="eastAsia" w:ascii="仿宋" w:hAnsi="仿宋" w:eastAsia="仿宋" w:cs="仿宋_GB2312"/>
                <w:color w:val="auto"/>
                <w:kern w:val="0"/>
                <w:sz w:val="24"/>
              </w:rPr>
              <w:t>0</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169</w:t>
            </w:r>
          </w:p>
        </w:tc>
      </w:tr>
      <w:tr>
        <w:tblPrEx>
          <w:tblLayout w:type="fixed"/>
          <w:tblCellMar>
            <w:top w:w="15" w:type="dxa"/>
            <w:left w:w="15" w:type="dxa"/>
            <w:bottom w:w="15" w:type="dxa"/>
            <w:right w:w="15" w:type="dxa"/>
          </w:tblCellMar>
        </w:tblPrEx>
        <w:trPr>
          <w:trHeight w:val="532" w:hRule="atLeast"/>
        </w:trPr>
        <w:tc>
          <w:tcPr>
            <w:tcW w:w="866" w:type="dxa"/>
            <w:vMerge w:val="continue"/>
            <w:tcBorders>
              <w:left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升入高校</w:t>
            </w:r>
          </w:p>
        </w:tc>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471</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160</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47</w:t>
            </w: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13</w:t>
            </w:r>
          </w:p>
        </w:tc>
        <w:tc>
          <w:tcPr>
            <w:tcW w:w="1089" w:type="dxa"/>
            <w:tcBorders>
              <w:top w:val="single" w:color="000000" w:sz="4" w:space="0"/>
              <w:left w:val="single" w:color="000000" w:sz="4" w:space="0"/>
              <w:bottom w:val="single" w:color="000000" w:sz="4" w:space="0"/>
              <w:right w:val="single" w:color="000000" w:sz="4" w:space="0"/>
            </w:tcBorders>
          </w:tcPr>
          <w:p>
            <w:pPr>
              <w:adjustRightInd w:val="0"/>
              <w:jc w:val="center"/>
              <w:textAlignment w:val="center"/>
              <w:rPr>
                <w:rFonts w:hint="eastAsia" w:ascii="仿宋" w:hAnsi="仿宋" w:eastAsia="仿宋" w:cs="仿宋_GB2312"/>
                <w:color w:val="auto"/>
                <w:kern w:val="0"/>
                <w:sz w:val="24"/>
              </w:rPr>
            </w:pPr>
            <w:r>
              <w:rPr>
                <w:rFonts w:hint="eastAsia" w:ascii="仿宋" w:hAnsi="仿宋" w:eastAsia="仿宋" w:cs="仿宋_GB2312"/>
                <w:color w:val="auto"/>
                <w:kern w:val="0"/>
                <w:sz w:val="24"/>
              </w:rPr>
              <w:t>0</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691</w:t>
            </w:r>
          </w:p>
        </w:tc>
      </w:tr>
      <w:tr>
        <w:tblPrEx>
          <w:tblLayout w:type="fixed"/>
          <w:tblCellMar>
            <w:top w:w="15" w:type="dxa"/>
            <w:left w:w="15" w:type="dxa"/>
            <w:bottom w:w="15" w:type="dxa"/>
            <w:right w:w="15" w:type="dxa"/>
          </w:tblCellMar>
        </w:tblPrEx>
        <w:trPr>
          <w:trHeight w:val="532" w:hRule="atLeast"/>
        </w:trPr>
        <w:tc>
          <w:tcPr>
            <w:tcW w:w="866" w:type="dxa"/>
            <w:vMerge w:val="continue"/>
            <w:tcBorders>
              <w:left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总就业/升学率</w:t>
            </w:r>
          </w:p>
        </w:tc>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82.49</w:t>
            </w:r>
            <w:r>
              <w:rPr>
                <w:rFonts w:hint="eastAsia" w:ascii="仿宋" w:hAnsi="仿宋" w:eastAsia="仿宋" w:cs="仿宋_GB2312"/>
                <w:color w:val="auto"/>
                <w:kern w:val="0"/>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94.67</w:t>
            </w:r>
            <w:r>
              <w:rPr>
                <w:rFonts w:hint="eastAsia" w:ascii="仿宋" w:hAnsi="仿宋" w:eastAsia="仿宋" w:cs="仿宋_GB2312"/>
                <w:color w:val="auto"/>
                <w:kern w:val="0"/>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78.33</w:t>
            </w:r>
            <w:r>
              <w:rPr>
                <w:rFonts w:hint="eastAsia" w:ascii="仿宋" w:hAnsi="仿宋" w:eastAsia="仿宋" w:cs="仿宋_GB2312"/>
                <w:color w:val="auto"/>
                <w:kern w:val="0"/>
                <w:sz w:val="24"/>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21.67</w:t>
            </w:r>
            <w:r>
              <w:rPr>
                <w:rFonts w:hint="eastAsia" w:ascii="仿宋" w:hAnsi="仿宋" w:eastAsia="仿宋" w:cs="仿宋_GB2312"/>
                <w:color w:val="auto"/>
                <w:kern w:val="0"/>
                <w:sz w:val="24"/>
              </w:rPr>
              <w:t>%</w:t>
            </w:r>
          </w:p>
        </w:tc>
        <w:tc>
          <w:tcPr>
            <w:tcW w:w="1089" w:type="dxa"/>
            <w:tcBorders>
              <w:top w:val="single" w:color="000000" w:sz="4" w:space="0"/>
              <w:left w:val="single" w:color="000000" w:sz="4" w:space="0"/>
              <w:bottom w:val="single" w:color="000000" w:sz="4" w:space="0"/>
              <w:right w:val="single" w:color="000000" w:sz="4" w:space="0"/>
            </w:tcBorders>
          </w:tcPr>
          <w:p>
            <w:pPr>
              <w:adjustRightInd w:val="0"/>
              <w:jc w:val="center"/>
              <w:textAlignment w:val="center"/>
              <w:rPr>
                <w:rFonts w:hint="eastAsia" w:ascii="仿宋" w:hAnsi="仿宋" w:eastAsia="仿宋" w:cs="仿宋_GB2312"/>
                <w:color w:val="auto"/>
                <w:kern w:val="0"/>
                <w:sz w:val="24"/>
              </w:rPr>
            </w:pPr>
            <w:r>
              <w:rPr>
                <w:rFonts w:hint="eastAsia" w:ascii="仿宋" w:hAnsi="仿宋" w:eastAsia="仿宋" w:cs="仿宋_GB2312"/>
                <w:color w:val="auto"/>
                <w:kern w:val="0"/>
                <w:sz w:val="24"/>
              </w:rPr>
              <w:t>0</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80.35</w:t>
            </w:r>
            <w:r>
              <w:rPr>
                <w:rFonts w:hint="eastAsia" w:ascii="仿宋" w:hAnsi="仿宋" w:eastAsia="仿宋" w:cs="仿宋_GB2312"/>
                <w:color w:val="auto"/>
                <w:kern w:val="0"/>
                <w:sz w:val="24"/>
              </w:rPr>
              <w:t>%</w:t>
            </w:r>
          </w:p>
        </w:tc>
      </w:tr>
      <w:tr>
        <w:tblPrEx>
          <w:tblLayout w:type="fixed"/>
          <w:tblCellMar>
            <w:top w:w="15" w:type="dxa"/>
            <w:left w:w="15" w:type="dxa"/>
            <w:bottom w:w="15" w:type="dxa"/>
            <w:right w:w="15" w:type="dxa"/>
          </w:tblCellMar>
        </w:tblPrEx>
        <w:trPr>
          <w:trHeight w:val="532" w:hRule="atLeast"/>
        </w:trPr>
        <w:tc>
          <w:tcPr>
            <w:tcW w:w="866" w:type="dxa"/>
            <w:vMerge w:val="continue"/>
            <w:tcBorders>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对口就业/升学率</w:t>
            </w:r>
          </w:p>
        </w:tc>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83.07</w:t>
            </w:r>
            <w:r>
              <w:rPr>
                <w:rFonts w:hint="eastAsia" w:ascii="仿宋" w:hAnsi="仿宋" w:eastAsia="仿宋" w:cs="仿宋_GB2312"/>
                <w:color w:val="auto"/>
                <w:kern w:val="0"/>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hint="eastAsia" w:ascii="仿宋" w:hAnsi="仿宋" w:eastAsia="仿宋" w:cs="仿宋_GB2312"/>
                <w:color w:val="auto"/>
                <w:kern w:val="0"/>
                <w:sz w:val="24"/>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82.46</w:t>
            </w:r>
            <w:r>
              <w:rPr>
                <w:rFonts w:hint="eastAsia" w:ascii="仿宋" w:hAnsi="仿宋" w:eastAsia="仿宋" w:cs="仿宋_GB2312"/>
                <w:color w:val="auto"/>
                <w:kern w:val="0"/>
                <w:sz w:val="24"/>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25.00</w:t>
            </w:r>
            <w:r>
              <w:rPr>
                <w:rFonts w:hint="eastAsia" w:ascii="仿宋" w:hAnsi="仿宋" w:eastAsia="仿宋" w:cs="仿宋_GB2312"/>
                <w:color w:val="auto"/>
                <w:kern w:val="0"/>
                <w:sz w:val="24"/>
              </w:rPr>
              <w:t>%</w:t>
            </w:r>
          </w:p>
        </w:tc>
        <w:tc>
          <w:tcPr>
            <w:tcW w:w="1089" w:type="dxa"/>
            <w:tcBorders>
              <w:top w:val="single" w:color="000000" w:sz="4" w:space="0"/>
              <w:left w:val="single" w:color="000000" w:sz="4" w:space="0"/>
              <w:bottom w:val="single" w:color="000000" w:sz="4" w:space="0"/>
              <w:right w:val="single" w:color="000000" w:sz="4" w:space="0"/>
            </w:tcBorders>
          </w:tcPr>
          <w:p>
            <w:pPr>
              <w:adjustRightInd w:val="0"/>
              <w:jc w:val="center"/>
              <w:textAlignment w:val="center"/>
              <w:rPr>
                <w:rFonts w:hint="eastAsia" w:ascii="仿宋" w:hAnsi="仿宋" w:eastAsia="仿宋" w:cs="仿宋_GB2312"/>
                <w:color w:val="auto"/>
                <w:kern w:val="0"/>
                <w:sz w:val="24"/>
              </w:rPr>
            </w:pPr>
            <w:r>
              <w:rPr>
                <w:rFonts w:hint="eastAsia" w:ascii="仿宋" w:hAnsi="仿宋" w:eastAsia="仿宋" w:cs="仿宋_GB2312"/>
                <w:color w:val="auto"/>
                <w:kern w:val="0"/>
                <w:sz w:val="24"/>
              </w:rPr>
              <w:t>0</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color w:val="auto"/>
                <w:kern w:val="0"/>
                <w:sz w:val="24"/>
              </w:rPr>
            </w:pPr>
            <w:r>
              <w:rPr>
                <w:rFonts w:ascii="仿宋" w:hAnsi="仿宋" w:eastAsia="仿宋" w:cs="仿宋_GB2312"/>
                <w:color w:val="auto"/>
                <w:kern w:val="0"/>
                <w:sz w:val="24"/>
              </w:rPr>
              <w:t>81.78</w:t>
            </w:r>
            <w:r>
              <w:rPr>
                <w:rFonts w:hint="eastAsia" w:ascii="仿宋" w:hAnsi="仿宋" w:eastAsia="仿宋" w:cs="仿宋_GB2312"/>
                <w:color w:val="auto"/>
                <w:kern w:val="0"/>
                <w:sz w:val="24"/>
              </w:rPr>
              <w:t>%</w:t>
            </w:r>
          </w:p>
        </w:tc>
      </w:tr>
    </w:tbl>
    <w:p>
      <w:pPr>
        <w:rPr>
          <w:color w:val="auto"/>
        </w:rPr>
      </w:pPr>
    </w:p>
    <w:p>
      <w:pPr>
        <w:rPr>
          <w:color w:val="auto"/>
        </w:rPr>
      </w:pPr>
    </w:p>
    <w:p>
      <w:pPr>
        <w:pStyle w:val="3"/>
        <w:keepNext w:val="0"/>
        <w:keepLines w:val="0"/>
        <w:adjustRightInd w:val="0"/>
        <w:spacing w:before="156" w:beforeLines="50" w:line="360" w:lineRule="auto"/>
        <w:ind w:firstLine="280" w:firstLineChars="100"/>
        <w:rPr>
          <w:b w:val="0"/>
          <w:color w:val="auto"/>
          <w:sz w:val="28"/>
          <w:szCs w:val="28"/>
        </w:rPr>
      </w:pPr>
      <w:bookmarkStart w:id="17" w:name="_Toc471905915"/>
      <w:r>
        <w:rPr>
          <w:rFonts w:hint="eastAsia"/>
          <w:b w:val="0"/>
          <w:color w:val="auto"/>
          <w:sz w:val="28"/>
          <w:szCs w:val="28"/>
        </w:rPr>
        <w:t>2.5职业发展</w:t>
      </w:r>
      <w:bookmarkEnd w:id="17"/>
    </w:p>
    <w:p>
      <w:pPr>
        <w:widowControl/>
        <w:spacing w:line="360" w:lineRule="auto"/>
        <w:ind w:firstLine="472" w:firstLineChars="197"/>
        <w:jc w:val="left"/>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学校坚持“育人育才并举，育才先育人”的教育思想，注重学生综合素养和职业能力的培养。在选择性课改的引领下，根据学生身心发展规律，创设“</w:t>
      </w:r>
      <w:r>
        <w:rPr>
          <w:rFonts w:hint="eastAsia" w:asciiTheme="minorEastAsia" w:hAnsiTheme="minorEastAsia" w:eastAsiaTheme="minorEastAsia"/>
          <w:color w:val="auto"/>
          <w:sz w:val="24"/>
        </w:rPr>
        <w:t>塑天使形</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育天使心</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铸天使魂”的天使育人工程，</w:t>
      </w:r>
      <w:r>
        <w:rPr>
          <w:rFonts w:hint="eastAsia" w:cs="宋体" w:asciiTheme="minorEastAsia" w:hAnsiTheme="minorEastAsia" w:eastAsiaTheme="minorEastAsia"/>
          <w:color w:val="auto"/>
          <w:sz w:val="24"/>
        </w:rPr>
        <w:t>通过职业生涯规划、创新创业、心理健康等课程教学以及职业体验、职业岗位见习、专业技能锦标赛、临床实习、顶岗实习、走进高校等教育教学环节，</w:t>
      </w:r>
      <w:r>
        <w:rPr>
          <w:rFonts w:hint="eastAsia" w:asciiTheme="minorEastAsia" w:hAnsiTheme="minorEastAsia" w:eastAsiaTheme="minorEastAsia"/>
          <w:color w:val="auto"/>
          <w:sz w:val="24"/>
        </w:rPr>
        <w:t>塑造规范自律、文明守礼、身心健康、积极向上的“天使形”。培育融爱心、耐心、细心、责任心的“天使心”。注重实践体验。铸就燃烧自己，照亮别人的“天使魂”。学生学习能力、岗位适应能力，岗位迁移能力、创新创业能力、升学能力等得到不断增强。</w:t>
      </w:r>
    </w:p>
    <w:p>
      <w:pPr>
        <w:widowControl/>
        <w:snapToGrid w:val="0"/>
        <w:spacing w:line="360" w:lineRule="auto"/>
        <w:ind w:firstLine="480" w:firstLineChars="200"/>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2017年，学校学生参加嘉兴市中职学校文化课学业水平测试，语文、数学合格率达100%，英语合格率99.68%，均位居前列；14级护理专业学生参加全国护理执业资格考试，获证率达98.4%，继续保持全国前列；毕业生就业前景广阔，据学校2017年5月专场招聘会统计，14级毕业生用人单位提供的招聘岗位数与学生实际就业人数比为3：1，出现毕业生供不应求的良好局面，用人单位满意度调查满意率达98.2%；对口高考升学率达81.07%。2017年74名学生参加浙江省单考单招达到本科分数线，护理专业裘佳利同学夺得浙江省医护类高职考试第三名，嘉兴市第一名。全校3+2、五年一贯制、单考单招升入高等教育691人，占14级学生总数的80.07%。升入高校学生综合素养好，专业技能扎实，受到杭州医学院、金华职业技术学院、宁波卫生职业技术学院等高校的好评。</w:t>
      </w:r>
    </w:p>
    <w:p>
      <w:pPr>
        <w:widowControl/>
        <w:snapToGrid w:val="0"/>
        <w:spacing w:line="360" w:lineRule="auto"/>
        <w:ind w:firstLine="480" w:firstLineChars="200"/>
        <w:rPr>
          <w:rFonts w:cs="宋体" w:asciiTheme="minorEastAsia" w:hAnsiTheme="minorEastAsia" w:eastAsiaTheme="minorEastAsia"/>
          <w:color w:val="auto"/>
          <w:kern w:val="0"/>
          <w:sz w:val="24"/>
          <w:szCs w:val="22"/>
        </w:rPr>
      </w:pPr>
      <w:r>
        <w:rPr>
          <w:rFonts w:hint="eastAsia" w:cs="宋体" w:asciiTheme="minorEastAsia" w:hAnsiTheme="minorEastAsia" w:eastAsiaTheme="minorEastAsia"/>
          <w:color w:val="auto"/>
          <w:sz w:val="24"/>
          <w:lang w:val="en-US" w:eastAsia="zh-CN"/>
        </w:rPr>
        <w:t>2017年来自</w:t>
      </w:r>
      <w:r>
        <w:rPr>
          <w:rFonts w:hint="eastAsia" w:cs="宋体" w:asciiTheme="minorEastAsia" w:hAnsiTheme="minorEastAsia" w:eastAsiaTheme="minorEastAsia"/>
          <w:color w:val="auto"/>
          <w:sz w:val="24"/>
          <w:lang w:eastAsia="zh-CN"/>
        </w:rPr>
        <w:t>衢州职业技术学院消息，13名毕业于海宁卫生学校的学生获学院高等级奖学金，其中国家奖学金1人、国家励志奖学金7人、浙江省政府奖学金5人，海宁卫生学校毕业生获奖率远超平均获奖率，衢职院医学院仅有的1名国家奖学金为海宁卫校与衢职院合作五年一贯制学生郑晨同学荣获。获奖指标反映了海宁卫生学校学生的可持续发展潜力。</w:t>
      </w:r>
    </w:p>
    <w:bookmarkEnd w:id="14"/>
    <w:p>
      <w:pPr>
        <w:pStyle w:val="2"/>
        <w:keepNext w:val="0"/>
        <w:keepLines w:val="0"/>
        <w:adjustRightInd w:val="0"/>
        <w:snapToGrid w:val="0"/>
        <w:spacing w:before="156" w:beforeLines="50" w:line="360" w:lineRule="auto"/>
        <w:rPr>
          <w:rFonts w:ascii="黑体" w:hAnsi="黑体" w:eastAsia="黑体" w:cs="黑体"/>
          <w:color w:val="auto"/>
          <w:sz w:val="30"/>
          <w:szCs w:val="30"/>
        </w:rPr>
      </w:pPr>
      <w:bookmarkStart w:id="18" w:name="_Toc22071"/>
      <w:bookmarkStart w:id="19" w:name="_Toc471905916"/>
      <w:r>
        <w:rPr>
          <w:rFonts w:hint="eastAsia" w:ascii="黑体" w:hAnsi="黑体" w:eastAsia="黑体" w:cs="黑体"/>
          <w:color w:val="auto"/>
          <w:sz w:val="30"/>
          <w:szCs w:val="30"/>
        </w:rPr>
        <w:t>3.质量保障措施</w:t>
      </w:r>
      <w:bookmarkEnd w:id="18"/>
      <w:bookmarkEnd w:id="19"/>
    </w:p>
    <w:p>
      <w:pPr>
        <w:pStyle w:val="3"/>
        <w:keepNext w:val="0"/>
        <w:keepLines w:val="0"/>
        <w:adjustRightInd w:val="0"/>
        <w:spacing w:line="360" w:lineRule="auto"/>
        <w:ind w:firstLine="280" w:firstLineChars="100"/>
        <w:rPr>
          <w:b w:val="0"/>
          <w:color w:val="auto"/>
          <w:sz w:val="28"/>
          <w:szCs w:val="28"/>
        </w:rPr>
      </w:pPr>
      <w:bookmarkStart w:id="20" w:name="_Toc11187"/>
      <w:bookmarkStart w:id="21" w:name="_Toc471905917"/>
      <w:r>
        <w:rPr>
          <w:rFonts w:hint="eastAsia"/>
          <w:b w:val="0"/>
          <w:color w:val="auto"/>
          <w:sz w:val="28"/>
          <w:szCs w:val="28"/>
        </w:rPr>
        <w:t>3.1专业动态调整</w:t>
      </w:r>
      <w:bookmarkEnd w:id="20"/>
      <w:bookmarkEnd w:id="21"/>
    </w:p>
    <w:p>
      <w:pPr>
        <w:spacing w:line="360" w:lineRule="auto"/>
        <w:ind w:firstLine="480" w:firstLineChars="200"/>
        <w:outlineLvl w:val="0"/>
        <w:rPr>
          <w:rFonts w:ascii="宋体"/>
          <w:color w:val="auto"/>
          <w:sz w:val="24"/>
        </w:rPr>
      </w:pPr>
      <w:bookmarkStart w:id="22" w:name="_Toc471905441"/>
      <w:bookmarkStart w:id="23" w:name="_Toc471905918"/>
      <w:bookmarkStart w:id="24" w:name="_Toc22105"/>
      <w:bookmarkStart w:id="25" w:name="_Toc471905919"/>
      <w:bookmarkStart w:id="26" w:name="_Toc9731"/>
      <w:r>
        <w:rPr>
          <w:rFonts w:hint="eastAsia" w:ascii="宋体" w:hAnsi="宋体"/>
          <w:color w:val="auto"/>
          <w:sz w:val="24"/>
        </w:rPr>
        <w:t>学校紧紧围绕“健康中国”国家战略，根据省医药卫生事业和健康产业发展对中等卫生类技能型人才的需求，根据国家中等职业学校专业设置标准，制定</w:t>
      </w:r>
      <w:r>
        <w:rPr>
          <w:rFonts w:hint="eastAsia" w:ascii="宋体" w:hAnsi="宋体"/>
          <w:color w:val="auto"/>
          <w:sz w:val="24"/>
          <w:lang w:eastAsia="zh-CN"/>
        </w:rPr>
        <w:t>并严格执行</w:t>
      </w:r>
      <w:r>
        <w:rPr>
          <w:rFonts w:hint="eastAsia" w:ascii="宋体" w:hAnsi="宋体"/>
          <w:color w:val="auto"/>
          <w:sz w:val="24"/>
        </w:rPr>
        <w:t>《学校专业建设管理办法》等制度，科学指导专业发展规划，进行新专业设置和已有专业调整的市场调研、分析论证，制定专业设置和调整的可行性方案，建立动态调整机制，合理规划和设置专业，形成了医技类和药学类两个特色办学专业群，开设专业共</w:t>
      </w:r>
      <w:r>
        <w:rPr>
          <w:rFonts w:ascii="宋体" w:hAnsi="宋体"/>
          <w:color w:val="auto"/>
          <w:sz w:val="24"/>
        </w:rPr>
        <w:t>6</w:t>
      </w:r>
      <w:r>
        <w:rPr>
          <w:rFonts w:hint="eastAsia" w:ascii="宋体" w:hAnsi="宋体"/>
          <w:color w:val="auto"/>
          <w:sz w:val="24"/>
        </w:rPr>
        <w:t>个，有护理、助产、药剂、中药、医学检验技术、医学影像技术。除三年制普通中专外，与高职院校合作开设五年一贯制人才一体化培养模式，合作培养的专业有护理、护理（老年方向）、助产、中药、药学、医学检验技术。</w:t>
      </w:r>
      <w:r>
        <w:rPr>
          <w:rFonts w:hint="eastAsia" w:ascii="宋体" w:hAnsi="宋体"/>
          <w:color w:val="auto"/>
          <w:sz w:val="24"/>
          <w:lang w:val="en-US" w:eastAsia="zh-CN"/>
        </w:rPr>
        <w:t>20</w:t>
      </w:r>
      <w:r>
        <w:rPr>
          <w:rFonts w:ascii="宋体" w:hAnsi="宋体"/>
          <w:color w:val="auto"/>
          <w:sz w:val="24"/>
        </w:rPr>
        <w:t>17</w:t>
      </w:r>
      <w:r>
        <w:rPr>
          <w:rFonts w:hint="eastAsia" w:ascii="宋体" w:hAnsi="宋体"/>
          <w:color w:val="auto"/>
          <w:sz w:val="24"/>
        </w:rPr>
        <w:t>级五年一贯制学生占比</w:t>
      </w:r>
      <w:r>
        <w:rPr>
          <w:rFonts w:hint="eastAsia" w:ascii="宋体" w:hAnsi="宋体"/>
          <w:color w:val="auto"/>
          <w:sz w:val="24"/>
          <w:lang w:eastAsia="zh-CN"/>
        </w:rPr>
        <w:t>为</w:t>
      </w:r>
      <w:r>
        <w:rPr>
          <w:rFonts w:hint="eastAsia" w:ascii="宋体" w:hAnsi="宋体"/>
          <w:color w:val="auto"/>
          <w:sz w:val="24"/>
          <w:lang w:val="en-US" w:eastAsia="zh-CN"/>
        </w:rPr>
        <w:t>61.91%</w:t>
      </w:r>
      <w:r>
        <w:rPr>
          <w:rFonts w:hint="eastAsia" w:ascii="宋体" w:hAnsi="宋体"/>
          <w:color w:val="auto"/>
          <w:sz w:val="24"/>
        </w:rPr>
        <w:t>。</w:t>
      </w:r>
      <w:r>
        <w:rPr>
          <w:rFonts w:hint="eastAsia" w:ascii="宋体" w:hAnsi="宋体"/>
          <w:color w:val="auto"/>
          <w:sz w:val="24"/>
          <w:lang w:eastAsia="zh-CN"/>
        </w:rPr>
        <w:t>学校</w:t>
      </w:r>
      <w:r>
        <w:rPr>
          <w:rFonts w:hint="eastAsia" w:ascii="宋体" w:hAnsi="宋体"/>
          <w:color w:val="auto"/>
          <w:sz w:val="24"/>
        </w:rPr>
        <w:t>的国家级、省级、市级三个示范实训基地及示范专业得到了完善。</w:t>
      </w:r>
      <w:bookmarkEnd w:id="22"/>
      <w:bookmarkEnd w:id="23"/>
      <w:bookmarkStart w:id="27" w:name="_Toc27014"/>
    </w:p>
    <w:bookmarkEnd w:id="27"/>
    <w:p>
      <w:pPr>
        <w:pStyle w:val="3"/>
        <w:keepNext w:val="0"/>
        <w:keepLines w:val="0"/>
        <w:adjustRightInd w:val="0"/>
        <w:spacing w:line="360" w:lineRule="auto"/>
        <w:ind w:firstLine="280" w:firstLineChars="100"/>
        <w:rPr>
          <w:b w:val="0"/>
          <w:color w:val="auto"/>
          <w:sz w:val="28"/>
          <w:szCs w:val="28"/>
        </w:rPr>
      </w:pPr>
      <w:r>
        <w:rPr>
          <w:b w:val="0"/>
          <w:color w:val="auto"/>
          <w:sz w:val="28"/>
          <w:szCs w:val="28"/>
        </w:rPr>
        <w:t>3.</w:t>
      </w:r>
      <w:r>
        <w:rPr>
          <w:rFonts w:hint="eastAsia"/>
          <w:b w:val="0"/>
          <w:color w:val="auto"/>
          <w:sz w:val="28"/>
          <w:szCs w:val="28"/>
        </w:rPr>
        <w:t>2教育教学改革</w:t>
      </w:r>
      <w:bookmarkEnd w:id="24"/>
      <w:bookmarkEnd w:id="25"/>
    </w:p>
    <w:p>
      <w:pPr>
        <w:snapToGrid w:val="0"/>
        <w:spacing w:line="360" w:lineRule="auto"/>
        <w:ind w:firstLine="482"/>
        <w:rPr>
          <w:rFonts w:ascii="宋体"/>
          <w:color w:val="auto"/>
          <w:sz w:val="24"/>
        </w:rPr>
      </w:pPr>
      <w:bookmarkStart w:id="28" w:name="_Toc471905920"/>
      <w:r>
        <w:rPr>
          <w:rFonts w:hint="eastAsia" w:ascii="宋体" w:hAnsi="宋体"/>
          <w:color w:val="auto"/>
          <w:sz w:val="24"/>
        </w:rPr>
        <w:t>学校是嘉兴市课程改革试点学校，认真贯彻省中职“选择性”课改精神，积极开展“选择性”课改实践，制定了《海宁卫生学校“大类融通、多次选择”的选择性课改方案》及相关配套制度。</w:t>
      </w:r>
      <w:r>
        <w:rPr>
          <w:rFonts w:ascii="宋体" w:hAnsi="宋体"/>
          <w:color w:val="auto"/>
          <w:sz w:val="24"/>
        </w:rPr>
        <w:t>2017</w:t>
      </w:r>
      <w:r>
        <w:rPr>
          <w:rFonts w:hint="eastAsia" w:ascii="宋体" w:hAnsi="宋体"/>
          <w:color w:val="auto"/>
          <w:sz w:val="24"/>
        </w:rPr>
        <w:t>年教学改革覆盖全部六个专业，继续分阶段实施专业选择、方向选择、课程选择的多次选择机制，学生课改参与率达到</w:t>
      </w:r>
      <w:r>
        <w:rPr>
          <w:rFonts w:ascii="宋体" w:hAnsi="宋体"/>
          <w:color w:val="auto"/>
          <w:sz w:val="24"/>
        </w:rPr>
        <w:t>100%</w:t>
      </w:r>
      <w:r>
        <w:rPr>
          <w:rFonts w:hint="eastAsia" w:ascii="宋体" w:hAnsi="宋体"/>
          <w:color w:val="auto"/>
          <w:sz w:val="24"/>
        </w:rPr>
        <w:t>。</w:t>
      </w:r>
    </w:p>
    <w:p>
      <w:pPr>
        <w:widowControl/>
        <w:snapToGrid w:val="0"/>
        <w:spacing w:line="360" w:lineRule="auto"/>
        <w:ind w:firstLine="480" w:firstLineChars="200"/>
        <w:jc w:val="left"/>
        <w:rPr>
          <w:rFonts w:hint="eastAsia" w:ascii="宋体" w:hAnsi="宋体"/>
          <w:color w:val="auto"/>
          <w:sz w:val="24"/>
        </w:rPr>
      </w:pPr>
      <w:r>
        <w:rPr>
          <w:rFonts w:ascii="宋体" w:hAnsi="宋体"/>
          <w:color w:val="auto"/>
          <w:sz w:val="24"/>
        </w:rPr>
        <w:t>2017</w:t>
      </w:r>
      <w:r>
        <w:rPr>
          <w:rFonts w:hint="eastAsia" w:ascii="宋体" w:hAnsi="宋体"/>
          <w:color w:val="auto"/>
          <w:sz w:val="24"/>
        </w:rPr>
        <w:t>年度，在省改革发展示范校重点专业建设的引领下，学校</w:t>
      </w:r>
      <w:bookmarkStart w:id="29" w:name="_Toc467049598"/>
      <w:r>
        <w:rPr>
          <w:rFonts w:hint="eastAsia" w:ascii="宋体" w:hAnsi="宋体"/>
          <w:color w:val="auto"/>
          <w:sz w:val="24"/>
        </w:rPr>
        <w:t>着眼基层医疗卫生事业和健康产业发展，根据市场需求变化，通过深入行业企业调研，分析专业人才培养规格和目标，优化了各专业人才培养方案，创新了人才培养模式，形成了适合中职医药卫生类专业特点的“校院交替，能力递进”的人才培养模式，</w:t>
      </w:r>
      <w:bookmarkEnd w:id="29"/>
      <w:bookmarkStart w:id="30" w:name="_Toc467049600"/>
      <w:r>
        <w:rPr>
          <w:rFonts w:hint="eastAsia" w:ascii="宋体" w:hAnsi="宋体"/>
          <w:color w:val="auto"/>
          <w:sz w:val="24"/>
        </w:rPr>
        <w:t>构建了</w:t>
      </w:r>
      <w:r>
        <w:rPr>
          <w:rFonts w:ascii="宋体" w:hAnsi="宋体"/>
          <w:color w:val="auto"/>
          <w:sz w:val="24"/>
        </w:rPr>
        <w:t xml:space="preserve"> </w:t>
      </w:r>
      <w:r>
        <w:rPr>
          <w:rFonts w:hint="eastAsia" w:ascii="宋体" w:hAnsi="宋体"/>
          <w:color w:val="auto"/>
          <w:sz w:val="24"/>
        </w:rPr>
        <w:t>“公共必修课</w:t>
      </w:r>
      <w:r>
        <w:rPr>
          <w:rFonts w:ascii="宋体" w:hAnsi="宋体"/>
          <w:color w:val="auto"/>
          <w:sz w:val="24"/>
        </w:rPr>
        <w:t>+</w:t>
      </w:r>
      <w:r>
        <w:rPr>
          <w:rFonts w:hint="eastAsia" w:ascii="宋体" w:hAnsi="宋体"/>
          <w:color w:val="auto"/>
          <w:sz w:val="24"/>
        </w:rPr>
        <w:t>专业核心课</w:t>
      </w:r>
      <w:r>
        <w:rPr>
          <w:rFonts w:ascii="宋体" w:hAnsi="宋体"/>
          <w:color w:val="auto"/>
          <w:sz w:val="24"/>
        </w:rPr>
        <w:t>+</w:t>
      </w:r>
      <w:r>
        <w:rPr>
          <w:rFonts w:hint="eastAsia" w:ascii="宋体" w:hAnsi="宋体"/>
          <w:color w:val="auto"/>
          <w:sz w:val="24"/>
        </w:rPr>
        <w:t>限定选修课</w:t>
      </w:r>
      <w:r>
        <w:rPr>
          <w:rFonts w:ascii="宋体" w:hAnsi="宋体"/>
          <w:color w:val="auto"/>
          <w:sz w:val="24"/>
        </w:rPr>
        <w:t>+</w:t>
      </w:r>
      <w:r>
        <w:rPr>
          <w:rFonts w:hint="eastAsia" w:ascii="宋体" w:hAnsi="宋体"/>
          <w:color w:val="auto"/>
          <w:sz w:val="24"/>
        </w:rPr>
        <w:t>自由选修课”的模块化选择性课程体系</w:t>
      </w:r>
      <w:bookmarkStart w:id="31" w:name="_Toc394553702"/>
      <w:bookmarkStart w:id="32" w:name="_Toc393452942"/>
      <w:r>
        <w:rPr>
          <w:rFonts w:hint="eastAsia" w:ascii="宋体" w:hAnsi="宋体"/>
          <w:color w:val="auto"/>
          <w:sz w:val="24"/>
        </w:rPr>
        <w:t>，</w:t>
      </w:r>
      <w:bookmarkEnd w:id="30"/>
      <w:bookmarkEnd w:id="31"/>
      <w:bookmarkEnd w:id="32"/>
      <w:bookmarkStart w:id="33" w:name="_Toc394553703"/>
      <w:bookmarkStart w:id="34" w:name="_Toc433043196"/>
      <w:bookmarkStart w:id="35" w:name="_Toc393452943"/>
      <w:bookmarkStart w:id="36" w:name="_Toc433043557"/>
      <w:r>
        <w:rPr>
          <w:rFonts w:hint="eastAsia" w:ascii="宋体" w:hAnsi="宋体"/>
          <w:color w:val="auto"/>
          <w:sz w:val="24"/>
        </w:rPr>
        <w:t>重点加强专业核心课程和自由选修课程建设。</w:t>
      </w:r>
      <w:bookmarkStart w:id="37" w:name="_Toc467049602"/>
      <w:r>
        <w:rPr>
          <w:rFonts w:hint="eastAsia" w:ascii="宋体" w:hAnsi="宋体"/>
          <w:color w:val="auto"/>
          <w:sz w:val="24"/>
        </w:rPr>
        <w:t>完善专业人才培养方案，完善各专业核心课程教学标准；编写专业核心课程教材校本教材</w:t>
      </w:r>
      <w:r>
        <w:rPr>
          <w:rFonts w:ascii="宋体" w:hAnsi="宋体"/>
          <w:color w:val="auto"/>
          <w:sz w:val="24"/>
        </w:rPr>
        <w:t>3</w:t>
      </w:r>
      <w:r>
        <w:rPr>
          <w:rFonts w:hint="eastAsia" w:ascii="宋体" w:hAnsi="宋体"/>
          <w:color w:val="auto"/>
          <w:sz w:val="24"/>
        </w:rPr>
        <w:t>本；编写德育、文化艺术、职业素养等其它校本教材</w:t>
      </w:r>
      <w:r>
        <w:rPr>
          <w:rFonts w:ascii="宋体" w:hAnsi="宋体"/>
          <w:color w:val="auto"/>
          <w:sz w:val="24"/>
        </w:rPr>
        <w:t>3</w:t>
      </w:r>
      <w:r>
        <w:rPr>
          <w:rFonts w:hint="eastAsia" w:ascii="宋体" w:hAnsi="宋体"/>
          <w:color w:val="auto"/>
          <w:sz w:val="24"/>
        </w:rPr>
        <w:t>本；开设人文素养和职业素养等自由选修课</w:t>
      </w:r>
      <w:r>
        <w:rPr>
          <w:rFonts w:ascii="宋体" w:hAnsi="宋体"/>
          <w:color w:val="auto"/>
          <w:sz w:val="24"/>
        </w:rPr>
        <w:t>46</w:t>
      </w:r>
      <w:r>
        <w:rPr>
          <w:rFonts w:hint="eastAsia" w:ascii="宋体" w:hAnsi="宋体"/>
          <w:color w:val="auto"/>
          <w:sz w:val="24"/>
        </w:rPr>
        <w:t>门次。</w:t>
      </w:r>
      <w:bookmarkEnd w:id="37"/>
    </w:p>
    <w:p>
      <w:pPr>
        <w:widowControl/>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学校制定了护理专业现代学徒制人才培养方案。2017年9月，学校、杭州口腔医院海宁分院、学生及家长签订四方协议，采取现代学徒制的模式培养护理专业口腔方向的技能型人才。首批试点学生共19名，学校与杭州口腔医院海宁分院共同制定了人才培养方案，共同设置了教学课程，共同制定了课程标准，设立导师制，每周的专业方向课全部在杭州口腔医院海宁分院，实行理实一体化教学。参加现代学徒制试点的学生只发符合毕业条件，毕业后将直接进入杭州口腔医院海宁分院。这是学校教学改革的又一新尝试与探索。</w:t>
      </w:r>
    </w:p>
    <w:p>
      <w:pPr>
        <w:widowControl/>
        <w:snapToGrid w:val="0"/>
        <w:spacing w:line="360" w:lineRule="auto"/>
        <w:ind w:firstLine="480" w:firstLineChars="200"/>
        <w:jc w:val="left"/>
        <w:rPr>
          <w:rFonts w:hint="eastAsia" w:ascii="宋体" w:hAnsi="宋体" w:cs="宋体"/>
          <w:color w:val="auto"/>
          <w:kern w:val="0"/>
          <w:sz w:val="24"/>
          <w:szCs w:val="22"/>
        </w:rPr>
      </w:pPr>
      <w:r>
        <w:rPr>
          <w:rFonts w:hint="eastAsia" w:ascii="宋体" w:hAnsi="宋体" w:cs="宋体"/>
          <w:color w:val="auto"/>
          <w:kern w:val="0"/>
          <w:sz w:val="24"/>
          <w:szCs w:val="22"/>
        </w:rPr>
        <w:t>积极探索创新教学模式，结合卫生类专业特点，各专业核心课程推行以“岗位化”教学项目为主线的“项目教学法”教学模式，重构教学实施过程，通过岗位化教学项目，在老师指导下，由学生进行信息的收集、处理、项目的设计和实施，并通过学生自主评价、互评、教师评价等综合评价方式达成教学目标，打造“做中学、学中做、做学合一”的中职新课堂。公共必修课、限定选修课、自由选修课等课程教学中积极推进以“精彩课堂”评价为核心的教学方法创新实践，结合学生和课程特点，注重“德育渗透”和信息化教学手段应用，探索开展案例教学、情景模拟教学、仿真实践教学等多种形式的教学方法改革，激发学生学习兴趣，提升课程教学质量。</w:t>
      </w:r>
    </w:p>
    <w:bookmarkEnd w:id="33"/>
    <w:bookmarkEnd w:id="34"/>
    <w:bookmarkEnd w:id="35"/>
    <w:bookmarkEnd w:id="36"/>
    <w:p>
      <w:pPr>
        <w:pStyle w:val="3"/>
        <w:keepNext w:val="0"/>
        <w:keepLines w:val="0"/>
        <w:adjustRightInd w:val="0"/>
        <w:spacing w:line="360" w:lineRule="auto"/>
        <w:ind w:firstLine="280" w:firstLineChars="100"/>
        <w:rPr>
          <w:rFonts w:hint="eastAsia"/>
          <w:b w:val="0"/>
          <w:color w:val="auto"/>
          <w:sz w:val="28"/>
          <w:szCs w:val="28"/>
        </w:rPr>
      </w:pPr>
      <w:r>
        <w:rPr>
          <w:rFonts w:hint="eastAsia"/>
          <w:b w:val="0"/>
          <w:color w:val="auto"/>
          <w:sz w:val="28"/>
          <w:szCs w:val="28"/>
        </w:rPr>
        <w:t>3.3教师培养培训</w:t>
      </w:r>
      <w:bookmarkEnd w:id="28"/>
    </w:p>
    <w:p>
      <w:pPr>
        <w:widowControl/>
        <w:snapToGrid w:val="0"/>
        <w:spacing w:line="360" w:lineRule="auto"/>
        <w:ind w:firstLine="480" w:firstLineChars="200"/>
        <w:jc w:val="left"/>
        <w:outlineLvl w:val="2"/>
        <w:rPr>
          <w:rFonts w:cs="宋体" w:asciiTheme="minorEastAsia" w:hAnsiTheme="minorEastAsia" w:eastAsiaTheme="minorEastAsia"/>
          <w:color w:val="auto"/>
          <w:kern w:val="0"/>
          <w:sz w:val="24"/>
        </w:rPr>
      </w:pPr>
      <w:r>
        <w:rPr>
          <w:rFonts w:hint="eastAsia" w:ascii="Verdana" w:hAnsi="Verdana" w:cs="宋体"/>
          <w:color w:val="auto"/>
          <w:kern w:val="0"/>
          <w:sz w:val="24"/>
        </w:rPr>
        <w:t xml:space="preserve"> </w:t>
      </w:r>
      <w:r>
        <w:rPr>
          <w:rFonts w:hint="eastAsia" w:cs="宋体" w:asciiTheme="minorEastAsia" w:hAnsiTheme="minorEastAsia" w:eastAsiaTheme="minorEastAsia"/>
          <w:color w:val="auto"/>
          <w:kern w:val="0"/>
          <w:sz w:val="24"/>
        </w:rPr>
        <w:t xml:space="preserve">2017年，学校进一步完善了《学校名优教师评选办法》、《学校职称晋升推荐考核条例》、《专业教师下临床实施办法》等一系列了促进教师专业成长的制度和措施，并认真按照《教师发展“十三五”规划》的建设思路，通过“梯队建设，重点培养、外引内培、有效激励”四项举措，通过“平台培训、临床实践、结对培养、科研引领、竞赛助推”五条培育路径，在教师教育教学能力提升，双师素质形成、名优教师培养等方面取得了明显成效。 </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2017年度，学校培养嘉兴市级名校长1人，嘉兴市级学科带头人1人，海宁市级名师1人，心理健康C证持证教师8人，国家职业指导师7人。在全国、</w:t>
      </w:r>
      <w:r>
        <w:rPr>
          <w:rFonts w:hint="eastAsia" w:asciiTheme="minorEastAsia" w:hAnsiTheme="minorEastAsia" w:eastAsiaTheme="minorEastAsia"/>
          <w:color w:val="auto"/>
          <w:sz w:val="24"/>
        </w:rPr>
        <w:t>省、市级信息化教学、教学设计、说课、</w:t>
      </w:r>
      <w:r>
        <w:rPr>
          <w:rFonts w:hint="eastAsia" w:cs="宋体" w:asciiTheme="minorEastAsia" w:hAnsiTheme="minorEastAsia" w:eastAsiaTheme="minorEastAsia"/>
          <w:color w:val="auto"/>
          <w:kern w:val="0"/>
          <w:sz w:val="24"/>
        </w:rPr>
        <w:t>班主任基本功、专业技能等各类比赛中获得奖项59项，其中青年教师周丹、杜泺漪参加全国职业院校教师护理、检验技能大赛分别获得一等奖，杨锦获得全国信息化教学大赛教学设计赛项三等奖。</w:t>
      </w:r>
    </w:p>
    <w:p>
      <w:pPr>
        <w:spacing w:line="360" w:lineRule="auto"/>
        <w:ind w:firstLine="480" w:firstLineChars="200"/>
        <w:rPr>
          <w:rFonts w:cs="宋体" w:asciiTheme="minorEastAsia" w:hAnsiTheme="minorEastAsia" w:eastAsiaTheme="minorEastAsia"/>
          <w:color w:val="auto"/>
          <w:kern w:val="0"/>
          <w:sz w:val="24"/>
        </w:rPr>
      </w:pPr>
    </w:p>
    <w:p>
      <w:pPr>
        <w:spacing w:line="360" w:lineRule="auto"/>
        <w:ind w:firstLine="241" w:firstLineChars="100"/>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表8：2017年度学校教师市级以上培训情况汇总表</w:t>
      </w:r>
    </w:p>
    <w:tbl>
      <w:tblPr>
        <w:tblStyle w:val="14"/>
        <w:tblW w:w="9177" w:type="dxa"/>
        <w:jc w:val="center"/>
        <w:tblInd w:w="0" w:type="dxa"/>
        <w:tblLayout w:type="fixed"/>
        <w:tblCellMar>
          <w:top w:w="0" w:type="dxa"/>
          <w:left w:w="0" w:type="dxa"/>
          <w:bottom w:w="0" w:type="dxa"/>
          <w:right w:w="0" w:type="dxa"/>
        </w:tblCellMar>
      </w:tblPr>
      <w:tblGrid>
        <w:gridCol w:w="862"/>
        <w:gridCol w:w="5942"/>
        <w:gridCol w:w="1378"/>
        <w:gridCol w:w="995"/>
      </w:tblGrid>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序号</w:t>
            </w:r>
          </w:p>
        </w:tc>
        <w:tc>
          <w:tcPr>
            <w:tcW w:w="59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 xml:space="preserve">培  训  内   容 </w:t>
            </w:r>
          </w:p>
        </w:tc>
        <w:tc>
          <w:tcPr>
            <w:tcW w:w="13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培训级别</w:t>
            </w:r>
          </w:p>
        </w:tc>
        <w:tc>
          <w:tcPr>
            <w:tcW w:w="9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人数</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59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信息化教学设计与实施</w:t>
            </w:r>
            <w:r>
              <w:rPr>
                <w:rFonts w:hint="eastAsia" w:ascii="仿宋" w:hAnsi="仿宋" w:eastAsia="仿宋" w:cs="宋体"/>
                <w:color w:val="auto"/>
                <w:kern w:val="0"/>
                <w:sz w:val="24"/>
              </w:rPr>
              <w:tab/>
            </w:r>
          </w:p>
        </w:tc>
        <w:tc>
          <w:tcPr>
            <w:tcW w:w="13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浙江</w:t>
            </w:r>
          </w:p>
        </w:tc>
        <w:tc>
          <w:tcPr>
            <w:tcW w:w="9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w:t>
            </w:r>
          </w:p>
        </w:tc>
        <w:tc>
          <w:tcPr>
            <w:tcW w:w="59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班主任与德育工作研修班</w:t>
            </w:r>
          </w:p>
        </w:tc>
        <w:tc>
          <w:tcPr>
            <w:tcW w:w="137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浙江</w:t>
            </w:r>
          </w:p>
        </w:tc>
        <w:tc>
          <w:tcPr>
            <w:tcW w:w="99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2</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3</w:t>
            </w:r>
          </w:p>
        </w:tc>
        <w:tc>
          <w:tcPr>
            <w:tcW w:w="59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教学资源利用和多媒体课件制作</w:t>
            </w:r>
          </w:p>
        </w:tc>
        <w:tc>
          <w:tcPr>
            <w:tcW w:w="137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浙江</w:t>
            </w:r>
          </w:p>
        </w:tc>
        <w:tc>
          <w:tcPr>
            <w:tcW w:w="99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11</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4</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省第九期经典诵读骨干教师培训班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浙江</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5</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信息化教学能力提升研修班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浙江</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6</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浙江省中小学心理健康教育教师A级资格证书培训班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浙江</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7</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2017（下）嘉兴市中职医护类教师专业发展8学分培训</w:t>
            </w:r>
          </w:p>
          <w:p>
            <w:pPr>
              <w:widowControl/>
              <w:jc w:val="center"/>
              <w:rPr>
                <w:rFonts w:ascii="仿宋" w:hAnsi="仿宋" w:eastAsia="仿宋" w:cs="宋体"/>
                <w:color w:val="auto"/>
                <w:kern w:val="0"/>
                <w:sz w:val="24"/>
              </w:rPr>
            </w:pP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3</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8</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2017年下嘉兴市中职学校计算机专业课教师8学分培训</w:t>
            </w:r>
          </w:p>
          <w:p>
            <w:pPr>
              <w:widowControl/>
              <w:jc w:val="center"/>
              <w:rPr>
                <w:rFonts w:ascii="仿宋" w:hAnsi="仿宋" w:eastAsia="仿宋" w:cs="宋体"/>
                <w:color w:val="auto"/>
                <w:kern w:val="0"/>
                <w:sz w:val="24"/>
              </w:rPr>
            </w:pP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9</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2017下半年嘉兴市中职语文教师专业发展培训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10</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嘉兴市第十三期高中教育科研骨干教师高研班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3</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11</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嘉兴市中等职业学校数学教师课堂教学设计培训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6</w:t>
            </w:r>
          </w:p>
        </w:tc>
      </w:tr>
      <w:tr>
        <w:tblPrEx>
          <w:tblLayout w:type="fixed"/>
          <w:tblCellMar>
            <w:top w:w="0" w:type="dxa"/>
            <w:left w:w="0" w:type="dxa"/>
            <w:bottom w:w="0" w:type="dxa"/>
            <w:right w:w="0" w:type="dxa"/>
          </w:tblCellMar>
        </w:tblPrEx>
        <w:trPr>
          <w:trHeight w:val="669"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12</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嘉兴市中小学教师心理咨询与国家二、三级心理咨询师培训班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4</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13</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信息化环境下的中职德育课堂教学设计培训（中级培训）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14</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优化中职语文阅读教学理论与学科教学设计培训班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2</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15</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ascii="仿宋" w:hAnsi="仿宋" w:eastAsia="仿宋" w:cs="宋体"/>
                <w:color w:val="auto"/>
                <w:kern w:val="0"/>
                <w:sz w:val="24"/>
              </w:rPr>
              <w:t>中职数学教师教学设计能力提升培训班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16</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ascii="仿宋" w:hAnsi="仿宋" w:eastAsia="仿宋" w:cs="宋体"/>
                <w:color w:val="auto"/>
                <w:kern w:val="0"/>
                <w:sz w:val="24"/>
              </w:rPr>
              <w:t>中职数学教师专业发展90学分培训(高级培训)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17</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中职信息技术专业课教师信息化教学设计能力提升培训班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3</w:t>
            </w:r>
          </w:p>
        </w:tc>
      </w:tr>
      <w:tr>
        <w:tblPrEx>
          <w:tblLayout w:type="fixed"/>
          <w:tblCellMar>
            <w:top w:w="0" w:type="dxa"/>
            <w:left w:w="0" w:type="dxa"/>
            <w:bottom w:w="0" w:type="dxa"/>
            <w:right w:w="0" w:type="dxa"/>
          </w:tblCellMar>
        </w:tblPrEx>
        <w:trPr>
          <w:trHeight w:val="563"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18</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中职英语教师专业发展90学分培训（高级培训）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2</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19</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中职英语以多模态教学方法培养和提升学生识读能力培训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2</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20</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中职语文教师专业发展90学分培训（高级培训）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嘉兴</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2</w:t>
            </w:r>
          </w:p>
        </w:tc>
      </w:tr>
      <w:tr>
        <w:tblPrEx>
          <w:tblLayout w:type="fixed"/>
          <w:tblCellMar>
            <w:top w:w="0" w:type="dxa"/>
            <w:left w:w="0" w:type="dxa"/>
            <w:bottom w:w="0" w:type="dxa"/>
            <w:right w:w="0" w:type="dxa"/>
          </w:tblCellMar>
        </w:tblPrEx>
        <w:trPr>
          <w:trHeight w:val="634"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21</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2017年海宁市中小学（幼儿园）教师职业道德与法规全员培训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海宁</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85</w:t>
            </w:r>
          </w:p>
        </w:tc>
      </w:tr>
      <w:tr>
        <w:tblPrEx>
          <w:tblLayout w:type="fixed"/>
          <w:tblCellMar>
            <w:top w:w="0" w:type="dxa"/>
            <w:left w:w="0" w:type="dxa"/>
            <w:bottom w:w="0" w:type="dxa"/>
            <w:right w:w="0" w:type="dxa"/>
          </w:tblCellMar>
        </w:tblPrEx>
        <w:trPr>
          <w:trHeight w:val="734"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21</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海宁市中小学心理健康教育C 证资格证书培训班（第三期）1班</w:t>
            </w:r>
          </w:p>
          <w:p>
            <w:pPr>
              <w:widowControl/>
              <w:jc w:val="center"/>
              <w:rPr>
                <w:rFonts w:ascii="仿宋" w:hAnsi="仿宋" w:eastAsia="仿宋" w:cs="宋体"/>
                <w:color w:val="auto"/>
                <w:kern w:val="0"/>
                <w:sz w:val="24"/>
              </w:rPr>
            </w:pP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海宁</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9</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22</w:t>
            </w:r>
          </w:p>
        </w:tc>
        <w:tc>
          <w:tcPr>
            <w:tcW w:w="59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海宁市中职品牌专业群、骨干专业建设高级培训</w:t>
            </w:r>
          </w:p>
        </w:tc>
        <w:tc>
          <w:tcPr>
            <w:tcW w:w="137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海宁</w:t>
            </w:r>
          </w:p>
        </w:tc>
        <w:tc>
          <w:tcPr>
            <w:tcW w:w="99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6</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23</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核心素养解读高级培训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海宁</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32</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24</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新体系下的高中音乐课堂教学转型策略研修班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海宁</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25</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中等职业教育质量提升高级培训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海宁</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30</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26</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中职课堂教学的有效性与教师专业成长性基础培训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海宁</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16</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27</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中职课堂教学设计能力提升培训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海宁</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49</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28</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中职信息化教学技术与课堂教学融合提升培训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海宁</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37</w:t>
            </w:r>
          </w:p>
        </w:tc>
      </w:tr>
      <w:tr>
        <w:tblPrEx>
          <w:tblLayout w:type="fixed"/>
          <w:tblCellMar>
            <w:top w:w="0" w:type="dxa"/>
            <w:left w:w="0" w:type="dxa"/>
            <w:bottom w:w="0" w:type="dxa"/>
            <w:right w:w="0"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29</w:t>
            </w:r>
          </w:p>
        </w:tc>
        <w:tc>
          <w:tcPr>
            <w:tcW w:w="594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中职学校德育工作水平提升培训班</w:t>
            </w:r>
          </w:p>
        </w:tc>
        <w:tc>
          <w:tcPr>
            <w:tcW w:w="137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海宁</w:t>
            </w:r>
          </w:p>
        </w:tc>
        <w:tc>
          <w:tcPr>
            <w:tcW w:w="99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2</w:t>
            </w:r>
          </w:p>
        </w:tc>
      </w:tr>
    </w:tbl>
    <w:p>
      <w:pPr>
        <w:rPr>
          <w:color w:val="auto"/>
        </w:rPr>
      </w:pPr>
    </w:p>
    <w:p>
      <w:pPr>
        <w:pStyle w:val="3"/>
        <w:keepNext w:val="0"/>
        <w:keepLines w:val="0"/>
        <w:adjustRightInd w:val="0"/>
        <w:snapToGrid w:val="0"/>
        <w:spacing w:line="360" w:lineRule="auto"/>
        <w:ind w:firstLine="280" w:firstLineChars="100"/>
        <w:rPr>
          <w:b w:val="0"/>
          <w:color w:val="auto"/>
          <w:sz w:val="28"/>
          <w:szCs w:val="28"/>
        </w:rPr>
      </w:pPr>
      <w:bookmarkStart w:id="38" w:name="_Toc471905922"/>
      <w:r>
        <w:rPr>
          <w:rFonts w:hint="eastAsia"/>
          <w:b w:val="0"/>
          <w:color w:val="auto"/>
          <w:sz w:val="28"/>
          <w:szCs w:val="28"/>
        </w:rPr>
        <w:t>3.4规范管理</w:t>
      </w:r>
      <w:bookmarkEnd w:id="38"/>
    </w:p>
    <w:p>
      <w:pPr>
        <w:pStyle w:val="3"/>
        <w:keepNext w:val="0"/>
        <w:keepLines w:val="0"/>
        <w:adjustRightInd w:val="0"/>
        <w:snapToGrid w:val="0"/>
        <w:spacing w:line="360" w:lineRule="auto"/>
        <w:ind w:firstLine="482" w:firstLineChars="200"/>
        <w:rPr>
          <w:rFonts w:ascii="黑体"/>
          <w:color w:val="auto"/>
          <w:sz w:val="24"/>
        </w:rPr>
      </w:pPr>
      <w:bookmarkStart w:id="39" w:name="_Toc471905923"/>
      <w:r>
        <w:rPr>
          <w:rFonts w:ascii="黑体" w:hAnsi="黑体"/>
          <w:color w:val="auto"/>
          <w:sz w:val="24"/>
        </w:rPr>
        <w:t>3.4.1</w:t>
      </w:r>
      <w:r>
        <w:rPr>
          <w:rFonts w:hint="eastAsia" w:ascii="黑体" w:hAnsi="黑体"/>
          <w:color w:val="auto"/>
          <w:sz w:val="24"/>
        </w:rPr>
        <w:t>教学管理</w:t>
      </w:r>
      <w:bookmarkEnd w:id="39"/>
    </w:p>
    <w:p>
      <w:pPr>
        <w:spacing w:line="360" w:lineRule="auto"/>
        <w:ind w:firstLine="361" w:firstLineChars="150"/>
        <w:rPr>
          <w:rFonts w:ascii="宋体"/>
          <w:b/>
          <w:color w:val="auto"/>
          <w:sz w:val="24"/>
        </w:rPr>
      </w:pPr>
      <w:r>
        <w:rPr>
          <w:rFonts w:hint="eastAsia" w:ascii="宋体" w:hAnsi="宋体"/>
          <w:b/>
          <w:color w:val="auto"/>
          <w:sz w:val="24"/>
        </w:rPr>
        <w:t>（</w:t>
      </w:r>
      <w:r>
        <w:rPr>
          <w:rFonts w:ascii="宋体" w:hAnsi="宋体"/>
          <w:b/>
          <w:color w:val="auto"/>
          <w:sz w:val="24"/>
        </w:rPr>
        <w:t>1</w:t>
      </w:r>
      <w:r>
        <w:rPr>
          <w:rFonts w:hint="eastAsia" w:ascii="宋体" w:hAnsi="宋体"/>
          <w:b/>
          <w:color w:val="auto"/>
          <w:sz w:val="24"/>
        </w:rPr>
        <w:t>）规范常规管理，提高管理水平</w:t>
      </w:r>
    </w:p>
    <w:p>
      <w:pPr>
        <w:spacing w:line="360" w:lineRule="auto"/>
        <w:ind w:firstLine="480"/>
        <w:rPr>
          <w:rFonts w:ascii="宋体"/>
          <w:color w:val="auto"/>
          <w:sz w:val="24"/>
        </w:rPr>
      </w:pPr>
      <w:r>
        <w:rPr>
          <w:rFonts w:hint="eastAsia" w:ascii="宋体" w:hAnsi="宋体"/>
          <w:color w:val="auto"/>
          <w:sz w:val="24"/>
        </w:rPr>
        <w:t>对照《嘉兴市中职教学管理评估标准》，严格按照学校《教学工作考核评价办法》、《教学常规管理制度》、《教师听课制度》、《考试管理规定》等制度，落实教学管理的规范化和精细化。</w:t>
      </w:r>
    </w:p>
    <w:p>
      <w:pPr>
        <w:pStyle w:val="28"/>
        <w:numPr>
          <w:ilvl w:val="0"/>
          <w:numId w:val="0"/>
        </w:numPr>
        <w:spacing w:line="360" w:lineRule="auto"/>
        <w:ind w:left="480" w:leftChars="0"/>
        <w:rPr>
          <w:rFonts w:ascii="宋体"/>
          <w:color w:val="auto"/>
          <w:sz w:val="24"/>
        </w:rPr>
      </w:pPr>
      <w:r>
        <w:rPr>
          <w:rFonts w:hint="eastAsia" w:ascii="宋体" w:hAnsi="宋体"/>
          <w:color w:val="auto"/>
          <w:sz w:val="24"/>
        </w:rPr>
        <w:t>①日常教学管理。严格执行教师调课、代课、停课、加课等提前申请审批制度。</w:t>
      </w:r>
    </w:p>
    <w:p>
      <w:pPr>
        <w:pStyle w:val="28"/>
        <w:numPr>
          <w:ilvl w:val="0"/>
          <w:numId w:val="0"/>
        </w:numPr>
        <w:spacing w:line="360" w:lineRule="auto"/>
        <w:ind w:leftChars="200"/>
        <w:rPr>
          <w:rFonts w:ascii="宋体"/>
          <w:color w:val="auto"/>
          <w:sz w:val="24"/>
        </w:rPr>
      </w:pPr>
      <w:r>
        <w:rPr>
          <w:rFonts w:hint="eastAsia" w:ascii="宋体" w:hAnsi="宋体"/>
          <w:color w:val="auto"/>
          <w:sz w:val="24"/>
        </w:rPr>
        <w:t>②授课计划管理。认真编制课程教学计划，执行同课程统一授课计划，适当增加技能训练在总课时中的比重，并严格督查教学计划的执行情况。</w:t>
      </w:r>
    </w:p>
    <w:p>
      <w:pPr>
        <w:spacing w:line="360" w:lineRule="auto"/>
        <w:ind w:firstLine="480" w:firstLineChars="200"/>
        <w:rPr>
          <w:rFonts w:ascii="宋体"/>
          <w:color w:val="auto"/>
          <w:sz w:val="24"/>
        </w:rPr>
      </w:pPr>
      <w:r>
        <w:rPr>
          <w:rFonts w:hint="eastAsia" w:ascii="宋体" w:hAnsi="宋体"/>
          <w:color w:val="auto"/>
          <w:sz w:val="24"/>
        </w:rPr>
        <w:t>③备课与作业布置、辅导管理。按教学课时要求书写教案，写清“六备”栏目的的设计，特别是学情分析与教法、学法。合理适量布置每一堂课的作业，并有检查批改与评价反馈，以此作为学生平时成绩的一项依据。</w:t>
      </w:r>
    </w:p>
    <w:p>
      <w:pPr>
        <w:spacing w:line="360" w:lineRule="auto"/>
        <w:ind w:firstLine="480" w:firstLineChars="200"/>
        <w:rPr>
          <w:rFonts w:ascii="宋体" w:hAnsi="宋体"/>
          <w:color w:val="auto"/>
          <w:sz w:val="24"/>
        </w:rPr>
      </w:pPr>
      <w:r>
        <w:rPr>
          <w:rFonts w:hint="eastAsia" w:ascii="宋体" w:hAnsi="宋体"/>
          <w:color w:val="auto"/>
          <w:sz w:val="24"/>
        </w:rPr>
        <w:t>④考务管理。严格做好考试的命题、考务、阅卷、成绩统计、成绩发布、成绩分析等，严把命题关，保密关，严肃考风考纪，阅卷评分公平公正。</w:t>
      </w:r>
      <w:r>
        <w:rPr>
          <w:rFonts w:ascii="宋体" w:hAnsi="宋体"/>
          <w:color w:val="auto"/>
          <w:sz w:val="24"/>
        </w:rPr>
        <w:t xml:space="preserve"> </w:t>
      </w:r>
    </w:p>
    <w:p>
      <w:pPr>
        <w:spacing w:line="360" w:lineRule="auto"/>
        <w:ind w:firstLine="361" w:firstLineChars="150"/>
        <w:rPr>
          <w:rFonts w:ascii="宋体"/>
          <w:b/>
          <w:color w:val="auto"/>
          <w:sz w:val="24"/>
        </w:rPr>
      </w:pPr>
      <w:r>
        <w:rPr>
          <w:rFonts w:hint="eastAsia" w:ascii="宋体" w:hAnsi="宋体"/>
          <w:b/>
          <w:color w:val="auto"/>
          <w:sz w:val="24"/>
        </w:rPr>
        <w:t>（</w:t>
      </w:r>
      <w:r>
        <w:rPr>
          <w:rFonts w:ascii="宋体" w:hAnsi="宋体"/>
          <w:b/>
          <w:color w:val="auto"/>
          <w:sz w:val="24"/>
        </w:rPr>
        <w:t>2</w:t>
      </w:r>
      <w:r>
        <w:rPr>
          <w:rFonts w:hint="eastAsia" w:ascii="宋体" w:hAnsi="宋体"/>
          <w:b/>
          <w:color w:val="auto"/>
          <w:sz w:val="24"/>
        </w:rPr>
        <w:t>）强化课堂管理，提高课堂效率</w:t>
      </w:r>
    </w:p>
    <w:p>
      <w:pPr>
        <w:spacing w:line="360" w:lineRule="auto"/>
        <w:ind w:firstLine="480" w:firstLineChars="200"/>
        <w:rPr>
          <w:rFonts w:ascii="宋体"/>
          <w:color w:val="auto"/>
          <w:sz w:val="24"/>
        </w:rPr>
      </w:pPr>
      <w:r>
        <w:rPr>
          <w:rFonts w:hint="eastAsia" w:ascii="宋体" w:hAnsi="宋体"/>
          <w:color w:val="auto"/>
          <w:sz w:val="24"/>
        </w:rPr>
        <w:t>①加强课堂教学检查。《班级课堂教学日志》、《教务日志》等真实记录，发现问题及时处理。严格落实课堂安全责任，每节课实行点名报告制度。</w:t>
      </w:r>
    </w:p>
    <w:p>
      <w:pPr>
        <w:spacing w:line="360" w:lineRule="auto"/>
        <w:ind w:firstLine="480" w:firstLineChars="200"/>
        <w:rPr>
          <w:rFonts w:ascii="宋体"/>
          <w:color w:val="auto"/>
          <w:sz w:val="24"/>
        </w:rPr>
      </w:pPr>
      <w:r>
        <w:rPr>
          <w:rFonts w:hint="eastAsia" w:ascii="宋体" w:hAnsi="宋体"/>
          <w:color w:val="auto"/>
          <w:sz w:val="24"/>
        </w:rPr>
        <w:t>②完善三级课堂监管机制。建立并实行听课评价组、校级教学指导小组、专业主任和教研组长推门听课制度，及时反馈评课意见。</w:t>
      </w:r>
    </w:p>
    <w:p>
      <w:pPr>
        <w:spacing w:line="360" w:lineRule="auto"/>
        <w:ind w:firstLine="480" w:firstLineChars="200"/>
        <w:rPr>
          <w:rFonts w:ascii="宋体"/>
          <w:color w:val="auto"/>
          <w:sz w:val="24"/>
        </w:rPr>
      </w:pPr>
      <w:r>
        <w:rPr>
          <w:rFonts w:hint="eastAsia" w:ascii="宋体" w:hAnsi="宋体"/>
          <w:color w:val="auto"/>
          <w:sz w:val="24"/>
        </w:rPr>
        <w:t>③开好师生座谈会。认真听取教师与学生的意见，掌握校内外有关教学动态，及时改进工作，提高管理效率。</w:t>
      </w:r>
    </w:p>
    <w:p>
      <w:pPr>
        <w:spacing w:line="360" w:lineRule="auto"/>
        <w:ind w:firstLine="480" w:firstLineChars="200"/>
        <w:rPr>
          <w:rFonts w:ascii="宋体"/>
          <w:color w:val="auto"/>
          <w:sz w:val="24"/>
        </w:rPr>
      </w:pPr>
      <w:r>
        <w:rPr>
          <w:rFonts w:hint="eastAsia" w:ascii="宋体" w:hAnsi="宋体"/>
          <w:color w:val="auto"/>
          <w:sz w:val="24"/>
        </w:rPr>
        <w:t>④加强教学的巡查。学校领导、教务处不定期进行课堂教学电子巡查和实地巡查，发现问题及时反馈与解决，教学巡查与学期教学考核相挂钩。</w:t>
      </w:r>
    </w:p>
    <w:p>
      <w:pPr>
        <w:spacing w:line="360" w:lineRule="auto"/>
        <w:ind w:firstLine="361" w:firstLineChars="150"/>
        <w:rPr>
          <w:rFonts w:ascii="宋体"/>
          <w:b/>
          <w:color w:val="auto"/>
          <w:sz w:val="24"/>
        </w:rPr>
      </w:pPr>
      <w:r>
        <w:rPr>
          <w:rFonts w:hint="eastAsia" w:ascii="宋体" w:hAnsi="宋体"/>
          <w:b/>
          <w:color w:val="auto"/>
          <w:sz w:val="24"/>
        </w:rPr>
        <w:t>（</w:t>
      </w:r>
      <w:r>
        <w:rPr>
          <w:rFonts w:ascii="宋体" w:hAnsi="宋体"/>
          <w:b/>
          <w:color w:val="auto"/>
          <w:sz w:val="24"/>
        </w:rPr>
        <w:t>3</w:t>
      </w:r>
      <w:r>
        <w:rPr>
          <w:rFonts w:hint="eastAsia" w:ascii="宋体" w:hAnsi="宋体"/>
          <w:b/>
          <w:color w:val="auto"/>
          <w:sz w:val="24"/>
        </w:rPr>
        <w:t>）突出团队建设，提升教学水平</w:t>
      </w:r>
    </w:p>
    <w:p>
      <w:pPr>
        <w:spacing w:line="360" w:lineRule="auto"/>
        <w:ind w:firstLine="480" w:firstLineChars="200"/>
        <w:rPr>
          <w:rFonts w:ascii="宋体"/>
          <w:color w:val="auto"/>
          <w:sz w:val="24"/>
        </w:rPr>
      </w:pPr>
      <w:r>
        <w:rPr>
          <w:rFonts w:hint="eastAsia" w:ascii="宋体" w:hAnsi="宋体"/>
          <w:color w:val="auto"/>
          <w:sz w:val="24"/>
        </w:rPr>
        <w:t>①抓示范。发挥名师、教学骨干、优秀教师在教学中的示范作用，开好名优教师示范课，带动全校教师在业务上的快速成长与发展。</w:t>
      </w:r>
    </w:p>
    <w:p>
      <w:pPr>
        <w:spacing w:line="360" w:lineRule="auto"/>
        <w:ind w:firstLine="480" w:firstLineChars="200"/>
        <w:rPr>
          <w:rFonts w:ascii="宋体"/>
          <w:color w:val="auto"/>
          <w:sz w:val="24"/>
        </w:rPr>
      </w:pPr>
      <w:r>
        <w:rPr>
          <w:rFonts w:hint="eastAsia" w:ascii="宋体" w:hAnsi="宋体"/>
          <w:color w:val="auto"/>
          <w:sz w:val="24"/>
        </w:rPr>
        <w:t>②严跟踪。对学生、家长、班主任等满意率较低的的老师，以及学校教学评价组反馈问题较多的老师，组织学校指导性专家小组进行跟踪帮扶，整改提高。</w:t>
      </w:r>
    </w:p>
    <w:p>
      <w:pPr>
        <w:spacing w:line="360" w:lineRule="auto"/>
        <w:ind w:firstLine="480" w:firstLineChars="200"/>
        <w:rPr>
          <w:rFonts w:ascii="宋体"/>
          <w:color w:val="auto"/>
          <w:sz w:val="24"/>
        </w:rPr>
      </w:pPr>
      <w:r>
        <w:rPr>
          <w:rFonts w:hint="eastAsia" w:ascii="宋体" w:hAnsi="宋体"/>
          <w:color w:val="auto"/>
          <w:sz w:val="24"/>
        </w:rPr>
        <w:t>③帮结对。实施新老教师“一对一”师徒结对培养制度，加强督促、检查与考核，使青年教师得到更为快速的成长。</w:t>
      </w:r>
    </w:p>
    <w:p>
      <w:pPr>
        <w:spacing w:line="360" w:lineRule="auto"/>
        <w:ind w:firstLine="480" w:firstLineChars="200"/>
        <w:rPr>
          <w:rFonts w:asciiTheme="minorEastAsia" w:hAnsiTheme="minorEastAsia" w:eastAsiaTheme="minorEastAsia"/>
          <w:color w:val="auto"/>
          <w:sz w:val="24"/>
        </w:rPr>
      </w:pPr>
      <w:r>
        <w:rPr>
          <w:rFonts w:hint="eastAsia" w:ascii="宋体" w:hAnsi="宋体"/>
          <w:color w:val="auto"/>
          <w:sz w:val="24"/>
        </w:rPr>
        <w:t>④重团队。充分发挥好专业，教研组作用，落实专业组、教研组教研制度，认真开展集体备课、开课评课、技能辅导考核等各项活动。</w:t>
      </w:r>
    </w:p>
    <w:p>
      <w:pPr>
        <w:pStyle w:val="3"/>
        <w:keepNext w:val="0"/>
        <w:keepLines w:val="0"/>
        <w:adjustRightInd w:val="0"/>
        <w:snapToGrid w:val="0"/>
        <w:spacing w:line="360" w:lineRule="auto"/>
        <w:ind w:firstLine="482" w:firstLineChars="200"/>
        <w:rPr>
          <w:rFonts w:hint="eastAsia" w:ascii="黑体" w:hAnsi="黑体"/>
          <w:color w:val="auto"/>
          <w:sz w:val="24"/>
        </w:rPr>
      </w:pPr>
      <w:bookmarkStart w:id="40" w:name="_Toc471905924"/>
      <w:r>
        <w:rPr>
          <w:rFonts w:hint="eastAsia" w:ascii="黑体" w:hAnsi="黑体"/>
          <w:color w:val="auto"/>
          <w:sz w:val="24"/>
        </w:rPr>
        <w:t>3.4.2学生管理</w:t>
      </w:r>
      <w:bookmarkEnd w:id="40"/>
    </w:p>
    <w:p>
      <w:pPr>
        <w:spacing w:line="360" w:lineRule="auto"/>
        <w:ind w:firstLine="361" w:firstLineChars="150"/>
        <w:rPr>
          <w:rFonts w:hint="eastAsia" w:ascii="宋体" w:hAnsi="宋体"/>
          <w:b/>
          <w:color w:val="auto"/>
          <w:sz w:val="24"/>
        </w:rPr>
      </w:pPr>
      <w:r>
        <w:rPr>
          <w:rFonts w:hint="eastAsia" w:ascii="宋体" w:hAnsi="宋体"/>
          <w:b/>
          <w:color w:val="auto"/>
          <w:sz w:val="24"/>
        </w:rPr>
        <w:t>（</w:t>
      </w:r>
      <w:r>
        <w:rPr>
          <w:rFonts w:ascii="宋体" w:hAnsi="宋体"/>
          <w:b/>
          <w:color w:val="auto"/>
          <w:sz w:val="24"/>
        </w:rPr>
        <w:t>1</w:t>
      </w:r>
      <w:r>
        <w:rPr>
          <w:rFonts w:hint="eastAsia" w:ascii="宋体" w:hAnsi="宋体"/>
          <w:b/>
          <w:color w:val="auto"/>
          <w:sz w:val="24"/>
        </w:rPr>
        <w:t>）打造天使导师队伍，提升班主任工作能力</w:t>
      </w:r>
    </w:p>
    <w:p>
      <w:pPr>
        <w:widowControl/>
        <w:spacing w:line="4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班主任是班级管理工作的的组织者和第一责任人，是学校实施教育，教学的主要力量，抓好这支学生管理一线队伍是做好学生管理工作的基础。</w:t>
      </w:r>
    </w:p>
    <w:p>
      <w:pPr>
        <w:widowControl/>
        <w:spacing w:line="440" w:lineRule="exact"/>
        <w:ind w:firstLine="480" w:firstLineChars="200"/>
        <w:jc w:val="left"/>
        <w:rPr>
          <w:rFonts w:hint="eastAsia" w:ascii="宋体" w:hAnsi="宋体" w:cs="宋体"/>
          <w:color w:val="auto"/>
          <w:kern w:val="0"/>
          <w:sz w:val="24"/>
        </w:rPr>
      </w:pPr>
      <w:r>
        <w:rPr>
          <w:rFonts w:hint="eastAsia" w:ascii="宋体" w:hAnsi="宋体"/>
          <w:color w:val="auto"/>
          <w:sz w:val="24"/>
        </w:rPr>
        <w:t>①</w:t>
      </w:r>
      <w:r>
        <w:rPr>
          <w:rFonts w:hint="eastAsia" w:ascii="宋体" w:hAnsi="宋体" w:cs="宋体"/>
          <w:color w:val="auto"/>
          <w:kern w:val="0"/>
          <w:sz w:val="24"/>
        </w:rPr>
        <w:t>强化日常管理与考核，提升班主任规范意识。严格按照《班主任制度》进行管理与考核，通过每月例会对班级管理中存在的问题进行剖析讲评，对工作方式方法进行有效指导。</w:t>
      </w:r>
      <w:r>
        <w:rPr>
          <w:rFonts w:hint="eastAsia" w:ascii="宋体" w:hAnsi="宋体"/>
          <w:color w:val="auto"/>
          <w:sz w:val="24"/>
        </w:rPr>
        <w:t>强化“三早”管理和班团活动能力的提升，对提升班主任整体素质起到了良好的促进作用。</w:t>
      </w:r>
      <w:r>
        <w:rPr>
          <w:rFonts w:hint="eastAsia" w:ascii="宋体" w:hAnsi="宋体" w:cs="宋体"/>
          <w:color w:val="auto"/>
          <w:kern w:val="0"/>
          <w:sz w:val="24"/>
        </w:rPr>
        <w:t xml:space="preserve">    </w:t>
      </w:r>
    </w:p>
    <w:p>
      <w:pPr>
        <w:widowControl/>
        <w:spacing w:line="440" w:lineRule="exact"/>
        <w:ind w:firstLine="480" w:firstLineChars="200"/>
        <w:jc w:val="left"/>
        <w:rPr>
          <w:rFonts w:ascii="宋体" w:hAnsi="宋体" w:cs="宋体"/>
          <w:color w:val="auto"/>
          <w:kern w:val="0"/>
          <w:sz w:val="24"/>
        </w:rPr>
      </w:pPr>
      <w:r>
        <w:rPr>
          <w:rFonts w:hint="eastAsia" w:ascii="宋体" w:hAnsi="宋体"/>
          <w:color w:val="auto"/>
          <w:sz w:val="24"/>
        </w:rPr>
        <w:t>②</w:t>
      </w:r>
      <w:r>
        <w:rPr>
          <w:rFonts w:hint="eastAsia" w:ascii="宋体" w:hAnsi="宋体" w:cs="宋体"/>
          <w:color w:val="auto"/>
          <w:kern w:val="0"/>
          <w:sz w:val="24"/>
        </w:rPr>
        <w:t>借助班主任工作室，搭建各类学习平台。一是班主任研讨会、班主任基本功比赛、新任班主任培训及选派学校班主任校外各级各类培训，加强班主任管理知识和能力的培养，不断提高班主任工作水平。二是组织班主任参加社工培训，拓展班主任的知识宽度，提升学习意识</w:t>
      </w:r>
      <w:r>
        <w:rPr>
          <w:rFonts w:hint="eastAsia" w:ascii="宋体" w:hAnsi="宋体"/>
          <w:color w:val="auto"/>
          <w:sz w:val="24"/>
        </w:rPr>
        <w:t>。本年度，付远清、陈燕老师分别获得嘉兴市成长导师大赛一、二等奖，边海萍老师获得海宁市“美丽班主任”，1517、1601分别获得海宁市美丽班级。</w:t>
      </w:r>
    </w:p>
    <w:p>
      <w:pPr>
        <w:widowControl/>
        <w:spacing w:line="440" w:lineRule="exact"/>
        <w:ind w:firstLine="480" w:firstLineChars="200"/>
        <w:jc w:val="left"/>
        <w:rPr>
          <w:rFonts w:hint="eastAsia" w:ascii="宋体" w:hAnsi="宋体"/>
          <w:color w:val="auto"/>
          <w:sz w:val="24"/>
        </w:rPr>
      </w:pPr>
      <w:r>
        <w:rPr>
          <w:rFonts w:hint="eastAsia" w:ascii="宋体" w:hAnsi="宋体"/>
          <w:color w:val="auto"/>
          <w:sz w:val="24"/>
        </w:rPr>
        <w:t>③</w:t>
      </w:r>
      <w:r>
        <w:rPr>
          <w:rFonts w:hint="eastAsia" w:ascii="宋体" w:hAnsi="宋体" w:cs="宋体"/>
          <w:color w:val="auto"/>
          <w:kern w:val="0"/>
          <w:sz w:val="24"/>
        </w:rPr>
        <w:t>基于“问题导向”，推动德育科研。</w:t>
      </w:r>
      <w:r>
        <w:rPr>
          <w:rFonts w:hint="eastAsia" w:ascii="宋体" w:hAnsi="宋体"/>
          <w:color w:val="auto"/>
          <w:sz w:val="24"/>
          <w:lang w:eastAsia="zh-CN"/>
        </w:rPr>
        <w:t>本年度</w:t>
      </w:r>
      <w:r>
        <w:rPr>
          <w:rFonts w:hint="eastAsia" w:ascii="宋体" w:hAnsi="宋体"/>
          <w:color w:val="auto"/>
          <w:sz w:val="24"/>
        </w:rPr>
        <w:t>在德育管理</w:t>
      </w:r>
      <w:r>
        <w:rPr>
          <w:rFonts w:hint="eastAsia" w:ascii="宋体" w:hAnsi="宋体" w:cs="宋体"/>
          <w:color w:val="auto"/>
          <w:kern w:val="0"/>
          <w:sz w:val="24"/>
        </w:rPr>
        <w:t>推行持续质量改进，从处室层面和班级层面分别进行管理，并采取了有效措施，在本年度学生安全管理上又有了突破性进展，周兰兰副校长主持的嘉兴市规划</w:t>
      </w:r>
      <w:r>
        <w:rPr>
          <w:rFonts w:hint="eastAsia" w:ascii="宋体" w:hAnsi="宋体"/>
          <w:color w:val="auto"/>
          <w:sz w:val="24"/>
        </w:rPr>
        <w:t>课题《</w:t>
      </w:r>
      <w:r>
        <w:rPr>
          <w:rFonts w:ascii="宋体" w:hAnsi="宋体"/>
          <w:color w:val="auto"/>
          <w:sz w:val="24"/>
        </w:rPr>
        <w:t>PDCA循环法在学生安全管理中的应用</w:t>
      </w:r>
      <w:r>
        <w:rPr>
          <w:rFonts w:hint="eastAsia" w:ascii="宋体" w:hAnsi="宋体"/>
          <w:color w:val="auto"/>
          <w:sz w:val="24"/>
        </w:rPr>
        <w:t xml:space="preserve">》已经成功结题，施成良校长主持的《“四导”策略在学生管理中的有效运用》已成功立项为嘉兴市重点规划课题，也带动了部分班主任积极参与个人德育微型课题的研究。  </w:t>
      </w:r>
    </w:p>
    <w:p>
      <w:pPr>
        <w:spacing w:line="400" w:lineRule="exact"/>
        <w:ind w:firstLine="482" w:firstLineChars="200"/>
        <w:rPr>
          <w:rFonts w:hint="eastAsia" w:ascii="宋体" w:hAnsi="宋体"/>
          <w:b/>
          <w:bCs/>
          <w:color w:val="auto"/>
          <w:sz w:val="24"/>
        </w:rPr>
      </w:pPr>
      <w:r>
        <w:rPr>
          <w:rFonts w:hint="eastAsia" w:ascii="宋体" w:hAnsi="宋体"/>
          <w:b/>
          <w:bCs/>
          <w:color w:val="auto"/>
          <w:sz w:val="24"/>
        </w:rPr>
        <w:t>（</w:t>
      </w:r>
      <w:r>
        <w:rPr>
          <w:rFonts w:hint="eastAsia" w:ascii="宋体" w:hAnsi="宋体"/>
          <w:b/>
          <w:bCs/>
          <w:color w:val="auto"/>
          <w:sz w:val="24"/>
          <w:lang w:val="en-US" w:eastAsia="zh-CN"/>
        </w:rPr>
        <w:t>2</w:t>
      </w:r>
      <w:r>
        <w:rPr>
          <w:rFonts w:hint="eastAsia" w:ascii="宋体" w:hAnsi="宋体"/>
          <w:b/>
          <w:bCs/>
          <w:color w:val="auto"/>
          <w:sz w:val="24"/>
        </w:rPr>
        <w:t>）借助“天使导学”项目，提升学生整体素质</w:t>
      </w:r>
    </w:p>
    <w:p>
      <w:pPr>
        <w:spacing w:line="400" w:lineRule="exact"/>
        <w:ind w:firstLine="480" w:firstLineChars="200"/>
        <w:rPr>
          <w:rFonts w:hint="eastAsia" w:ascii="宋体" w:hAnsi="宋体"/>
          <w:color w:val="auto"/>
          <w:sz w:val="24"/>
        </w:rPr>
      </w:pPr>
      <w:r>
        <w:rPr>
          <w:rFonts w:hint="eastAsia" w:ascii="宋体" w:hAnsi="宋体"/>
          <w:color w:val="auto"/>
          <w:sz w:val="24"/>
        </w:rPr>
        <w:t>①以“文明礼仪”为常规，突出养成教育。在总结去年校园卫生、学生违纪、仪容仪表等问题的基础上，</w:t>
      </w:r>
      <w:r>
        <w:rPr>
          <w:rFonts w:hint="eastAsia" w:ascii="宋体" w:hAnsi="宋体"/>
          <w:color w:val="auto"/>
          <w:sz w:val="24"/>
          <w:lang w:eastAsia="zh-CN"/>
        </w:rPr>
        <w:t>本年度</w:t>
      </w:r>
      <w:r>
        <w:rPr>
          <w:rFonts w:hint="eastAsia" w:ascii="宋体" w:hAnsi="宋体"/>
          <w:color w:val="auto"/>
          <w:sz w:val="24"/>
        </w:rPr>
        <w:t>重点抓好寝室卫生、纪律，加强对生活老师的培训和工作指导，为同学创建一个整齐划一、清洁美观、和谐安全的学习和生活环境，让文明之花开遍校园常吹不懈。</w:t>
      </w:r>
    </w:p>
    <w:p>
      <w:pPr>
        <w:spacing w:line="400" w:lineRule="exact"/>
        <w:ind w:firstLine="480" w:firstLineChars="200"/>
        <w:rPr>
          <w:rFonts w:hint="eastAsia" w:ascii="宋体" w:hAnsi="宋体"/>
          <w:color w:val="auto"/>
          <w:sz w:val="24"/>
        </w:rPr>
      </w:pPr>
      <w:r>
        <w:rPr>
          <w:rFonts w:hint="eastAsia" w:ascii="宋体" w:hAnsi="宋体"/>
          <w:color w:val="auto"/>
          <w:sz w:val="24"/>
        </w:rPr>
        <w:t>②</w:t>
      </w:r>
      <w:r>
        <w:rPr>
          <w:rFonts w:hint="eastAsia"/>
          <w:color w:val="auto"/>
          <w:sz w:val="24"/>
        </w:rPr>
        <w:t>以“7S”为手段，</w:t>
      </w:r>
      <w:r>
        <w:rPr>
          <w:rFonts w:hint="eastAsia" w:ascii="宋体" w:hAnsi="宋体"/>
          <w:color w:val="auto"/>
          <w:sz w:val="24"/>
        </w:rPr>
        <w:t>推进学生管理细节。</w:t>
      </w:r>
      <w:r>
        <w:rPr>
          <w:rFonts w:hint="eastAsia" w:ascii="宋体" w:hAnsi="宋体"/>
          <w:color w:val="auto"/>
          <w:sz w:val="24"/>
          <w:lang w:eastAsia="zh-CN"/>
        </w:rPr>
        <w:t>学校</w:t>
      </w:r>
      <w:r>
        <w:rPr>
          <w:rFonts w:hint="eastAsia" w:ascii="宋体" w:hAnsi="宋体"/>
          <w:color w:val="auto"/>
          <w:sz w:val="24"/>
        </w:rPr>
        <w:t>“７Ｓ”标准化管理已多年，也取得了一定的成效，但是仍然存在一些管理盲点，</w:t>
      </w:r>
      <w:r>
        <w:rPr>
          <w:rFonts w:hint="eastAsia" w:ascii="宋体" w:hAnsi="宋体"/>
          <w:color w:val="auto"/>
          <w:sz w:val="24"/>
          <w:lang w:eastAsia="zh-CN"/>
        </w:rPr>
        <w:t>本年度</w:t>
      </w:r>
      <w:r>
        <w:rPr>
          <w:rFonts w:hint="eastAsia" w:ascii="宋体" w:hAnsi="宋体"/>
          <w:color w:val="auto"/>
          <w:sz w:val="24"/>
        </w:rPr>
        <w:t>通过持续质量改进的实施，每班针对自身问题强化管理，找出问题，分析原因，采取措施，不断改进，并取得较好效果。</w:t>
      </w:r>
    </w:p>
    <w:p>
      <w:pPr>
        <w:spacing w:line="360" w:lineRule="auto"/>
        <w:ind w:firstLine="480" w:firstLineChars="200"/>
        <w:rPr>
          <w:rFonts w:hint="eastAsia" w:ascii="宋体" w:hAnsi="宋体"/>
          <w:color w:val="auto"/>
          <w:sz w:val="24"/>
        </w:rPr>
      </w:pPr>
      <w:r>
        <w:rPr>
          <w:rFonts w:hint="eastAsia" w:ascii="宋体" w:hAnsi="宋体"/>
          <w:color w:val="auto"/>
          <w:sz w:val="24"/>
        </w:rPr>
        <w:t>③</w:t>
      </w:r>
      <w:r>
        <w:rPr>
          <w:rFonts w:hint="eastAsia"/>
          <w:color w:val="auto"/>
          <w:sz w:val="24"/>
        </w:rPr>
        <w:t>以“天使导学”为契机，关注重点人群。以班级为单位，在学生中梳理行为习惯、学业水平、身心健康等方面需要帮助的学生，以党建工作为引领，采用一对一的方式针对性的帮扶困难学生，以思想引导，行为督导，心理疏导和职业指导四个方面，提升学生综合素质。</w:t>
      </w:r>
    </w:p>
    <w:p>
      <w:pPr>
        <w:spacing w:line="400" w:lineRule="exact"/>
        <w:ind w:firstLine="482" w:firstLineChars="200"/>
        <w:rPr>
          <w:rFonts w:hint="eastAsia" w:ascii="宋体" w:hAnsi="宋体"/>
          <w:color w:val="auto"/>
          <w:sz w:val="24"/>
        </w:rPr>
      </w:pPr>
      <w:r>
        <w:rPr>
          <w:rFonts w:hint="eastAsia" w:ascii="宋体" w:hAnsi="宋体"/>
          <w:b/>
          <w:bCs/>
          <w:color w:val="auto"/>
          <w:sz w:val="24"/>
        </w:rPr>
        <w:t>（</w:t>
      </w:r>
      <w:r>
        <w:rPr>
          <w:rFonts w:hint="eastAsia" w:ascii="宋体" w:hAnsi="宋体"/>
          <w:b/>
          <w:bCs/>
          <w:color w:val="auto"/>
          <w:sz w:val="24"/>
          <w:lang w:val="en-US" w:eastAsia="zh-CN"/>
        </w:rPr>
        <w:t>3</w:t>
      </w:r>
      <w:r>
        <w:rPr>
          <w:rFonts w:hint="eastAsia" w:ascii="宋体" w:hAnsi="宋体"/>
          <w:b/>
          <w:bCs/>
          <w:color w:val="auto"/>
          <w:sz w:val="24"/>
        </w:rPr>
        <w:t>）以“天使工程”为核心，开展德育实践活动</w:t>
      </w:r>
    </w:p>
    <w:p>
      <w:pPr>
        <w:spacing w:line="400" w:lineRule="exact"/>
        <w:ind w:firstLine="480" w:firstLineChars="200"/>
        <w:rPr>
          <w:rFonts w:hint="eastAsia" w:ascii="宋体" w:hAnsi="宋体"/>
          <w:color w:val="auto"/>
          <w:sz w:val="24"/>
        </w:rPr>
      </w:pPr>
      <w:r>
        <w:rPr>
          <w:rFonts w:hint="eastAsia" w:ascii="宋体" w:hAnsi="宋体"/>
          <w:color w:val="auto"/>
          <w:sz w:val="24"/>
        </w:rPr>
        <w:t>①加强班级文化建设，营造良好育人氛围。在上学期班级文化建设的基础上，</w:t>
      </w:r>
      <w:r>
        <w:rPr>
          <w:rFonts w:hint="eastAsia" w:ascii="宋体" w:hAnsi="宋体"/>
          <w:color w:val="auto"/>
          <w:sz w:val="24"/>
          <w:lang w:eastAsia="zh-CN"/>
        </w:rPr>
        <w:t>本年度</w:t>
      </w:r>
      <w:r>
        <w:rPr>
          <w:rFonts w:hint="eastAsia" w:ascii="宋体" w:hAnsi="宋体"/>
          <w:color w:val="auto"/>
          <w:sz w:val="24"/>
        </w:rPr>
        <w:t>重点打造班级文化建设，通过班级特色文化建设，班级口号、宣言、班主任寄语等图文并茂的形式，带动学生向善，向美，激发正能量，为学生营造一个健康向上的学习，生活环境。</w:t>
      </w:r>
    </w:p>
    <w:p>
      <w:pPr>
        <w:spacing w:line="400" w:lineRule="exact"/>
        <w:ind w:firstLine="480" w:firstLineChars="200"/>
        <w:rPr>
          <w:rFonts w:hint="eastAsia" w:ascii="宋体" w:hAnsi="宋体"/>
          <w:color w:val="auto"/>
          <w:sz w:val="24"/>
        </w:rPr>
      </w:pPr>
      <w:r>
        <w:rPr>
          <w:rFonts w:hint="eastAsia" w:ascii="宋体" w:hAnsi="宋体"/>
          <w:color w:val="auto"/>
          <w:sz w:val="24"/>
        </w:rPr>
        <w:t>②开展“主体实践”德育活动，促进德育内化。紧抓每周一次班团活动，抓住实践活动中的德育契机，从学生的行为规范养成入手，根据中专学生的身心发展规律，围绕社会主义核心价值观，有学生为主体进行活动，做好学生的主题思想教育，使他们的政治思想境界得到升华，从而促进学生思想道德健康发展。</w:t>
      </w:r>
    </w:p>
    <w:p>
      <w:pPr>
        <w:spacing w:line="400" w:lineRule="exact"/>
        <w:ind w:firstLine="480" w:firstLineChars="200"/>
        <w:rPr>
          <w:rFonts w:hint="eastAsia" w:ascii="宋体" w:hAnsi="宋体"/>
          <w:color w:val="auto"/>
          <w:sz w:val="24"/>
        </w:rPr>
      </w:pPr>
      <w:r>
        <w:rPr>
          <w:rFonts w:hint="eastAsia" w:ascii="宋体" w:hAnsi="宋体"/>
          <w:color w:val="auto"/>
          <w:sz w:val="24"/>
        </w:rPr>
        <w:t>③开展特色职业道德教育，本年度举行了盛大的15级护理专业传光授帽仪式。在市府礼堂一号厅，800多名护生和全体护理老师以及各级领导、嘉宾参加了本次仪式，专家领导们特别是南丁格尔奖获得者周瑞芳老师和省护理学前辈陈爱初女士为护生们戴上了洁白的燕尾帽，为护生进行了一次效果最佳的岗前教育，也将</w:t>
      </w:r>
      <w:r>
        <w:rPr>
          <w:rFonts w:hint="eastAsia" w:ascii="宋体" w:hAnsi="宋体"/>
          <w:color w:val="auto"/>
          <w:sz w:val="24"/>
          <w:lang w:eastAsia="zh-CN"/>
        </w:rPr>
        <w:t>学校</w:t>
      </w:r>
      <w:r>
        <w:rPr>
          <w:rFonts w:hint="eastAsia" w:ascii="宋体" w:hAnsi="宋体"/>
          <w:color w:val="auto"/>
          <w:sz w:val="24"/>
        </w:rPr>
        <w:t>的职业理想教育推向高潮，得到了学生、家长和上级领导的高度评价。</w:t>
      </w:r>
    </w:p>
    <w:p>
      <w:pPr>
        <w:pStyle w:val="7"/>
        <w:spacing w:line="440" w:lineRule="exact"/>
        <w:ind w:firstLine="434" w:firstLineChars="181"/>
        <w:rPr>
          <w:rFonts w:hint="eastAsia" w:ascii="宋体" w:hAnsi="宋体"/>
          <w:color w:val="auto"/>
          <w:sz w:val="24"/>
        </w:rPr>
      </w:pPr>
      <w:r>
        <w:rPr>
          <w:rFonts w:hint="eastAsia" w:ascii="宋体" w:hAnsi="宋体"/>
          <w:color w:val="auto"/>
          <w:sz w:val="24"/>
          <w:lang w:eastAsia="zh-CN"/>
        </w:rPr>
        <w:t>④本年度</w:t>
      </w:r>
      <w:r>
        <w:rPr>
          <w:rFonts w:hint="eastAsia" w:ascii="宋体" w:hAnsi="宋体"/>
          <w:color w:val="auto"/>
          <w:sz w:val="24"/>
        </w:rPr>
        <w:t>还成功举办了第十五届校园文化艺术技能节和全国中职学校学生文明风采活动。本次校园文化艺术技能节共设有各类文体、技能竞赛项目20个大项，除了传统的专业技能操作比赛、书法比赛、漫画大赛、现场作文比赛等常规项目外，特别结合学生特点，设立了校园十佳歌手大赛，校歌大赛、职业素质形象大赛、校园广播操大赛、校园女子排球赛、男子篮球等增强学生团结协作精神和创新精神的比赛项目，受到学生的普遍欢迎，学生参与积极性和主动性极高，学生活动参与率达100%，达到了释放学生激情，培养学生团队合作精神，增强了学生的集体荣誉感，明显提高了学生的综合素质，为营造学校良好育人环境和文化氛围，推进了学校精神文明建设发挥了积极作用。</w:t>
      </w:r>
    </w:p>
    <w:p>
      <w:pPr>
        <w:pStyle w:val="7"/>
        <w:spacing w:line="440" w:lineRule="exact"/>
        <w:ind w:firstLine="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⑤</w:t>
      </w:r>
      <w:r>
        <w:rPr>
          <w:rFonts w:hint="eastAsia" w:ascii="宋体" w:hAnsi="宋体"/>
          <w:color w:val="auto"/>
          <w:sz w:val="24"/>
        </w:rPr>
        <w:t>增强军训管理力量，上好新生入校第一课。在认真总结了往年军训成效的基础上，今年8月，</w:t>
      </w:r>
      <w:r>
        <w:rPr>
          <w:rFonts w:hint="eastAsia" w:ascii="宋体" w:hAnsi="宋体"/>
          <w:color w:val="auto"/>
          <w:sz w:val="24"/>
          <w:lang w:eastAsia="zh-CN"/>
        </w:rPr>
        <w:t>学校</w:t>
      </w:r>
      <w:r>
        <w:rPr>
          <w:rFonts w:hint="eastAsia" w:ascii="宋体" w:hAnsi="宋体"/>
          <w:color w:val="auto"/>
          <w:sz w:val="24"/>
        </w:rPr>
        <w:t>17级1038名新生报道后井然有序的展开了系列始业教育，从身心体检开始，军事训练，内务整理，法制讲座，消防演练，爱国主义影片观看等等，保质保量的完成了军训任务。特别是今年更换了军训公司，新的管理理念和训练模式，军训过程中有机结合</w:t>
      </w:r>
      <w:r>
        <w:rPr>
          <w:rFonts w:hint="eastAsia" w:ascii="宋体" w:hAnsi="宋体"/>
          <w:color w:val="auto"/>
          <w:sz w:val="24"/>
          <w:lang w:eastAsia="zh-CN"/>
        </w:rPr>
        <w:t>学校</w:t>
      </w:r>
      <w:r>
        <w:rPr>
          <w:rFonts w:hint="eastAsia" w:ascii="宋体" w:hAnsi="宋体"/>
          <w:color w:val="auto"/>
          <w:sz w:val="24"/>
        </w:rPr>
        <w:t>校园文化，通过多种拓展训练凸显了团队的力量，高质量的会操给全体师生留下了深刻的影响，也为学生的后期管理打下了坚实的基础。</w:t>
      </w:r>
    </w:p>
    <w:p>
      <w:pPr>
        <w:pStyle w:val="7"/>
        <w:spacing w:line="440" w:lineRule="exact"/>
        <w:ind w:firstLine="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⑥</w:t>
      </w:r>
      <w:r>
        <w:rPr>
          <w:rFonts w:hint="eastAsia" w:ascii="宋体" w:hAnsi="宋体"/>
          <w:color w:val="auto"/>
          <w:sz w:val="24"/>
        </w:rPr>
        <w:t>学生社团全面铺开，大力推进“文明风采”。</w:t>
      </w:r>
      <w:r>
        <w:rPr>
          <w:rFonts w:hint="eastAsia"/>
          <w:bCs/>
          <w:color w:val="auto"/>
          <w:sz w:val="24"/>
        </w:rPr>
        <w:t>学生社团是学生展示才艺、培养学生兴趣爱好，增强学生综合素质的重要平台，</w:t>
      </w:r>
      <w:r>
        <w:rPr>
          <w:rFonts w:hint="eastAsia" w:ascii="宋体" w:hAnsi="宋体"/>
          <w:color w:val="auto"/>
          <w:sz w:val="24"/>
        </w:rPr>
        <w:t>本年度共开设个近40个社团，学生参与率高达100%。社团活动的开展不仅给学生以学习和展示才能的平台，也全面提升了学生的素质，有力推进</w:t>
      </w:r>
      <w:r>
        <w:rPr>
          <w:rFonts w:hint="eastAsia" w:ascii="宋体" w:hAnsi="宋体"/>
          <w:color w:val="auto"/>
          <w:sz w:val="24"/>
          <w:lang w:eastAsia="zh-CN"/>
        </w:rPr>
        <w:t>学校</w:t>
      </w:r>
      <w:r>
        <w:rPr>
          <w:rFonts w:hint="eastAsia" w:ascii="宋体" w:hAnsi="宋体"/>
          <w:color w:val="auto"/>
          <w:sz w:val="24"/>
        </w:rPr>
        <w:t>品牌建设。其中由戏剧社组织参演的《身边的药师》喜获海宁市科普剧比赛一等奖的好成绩。与此同时借助社团的力量，如文学社、创新业创新社、器乐社等团队，推荐优秀作品参加全国“文明风采”大赛，获得全国一等奖2人次，省一等奖2人次，嘉兴市获奖20多人次，在嘉兴市名列前茅，并获得全国优秀组织奖。</w:t>
      </w:r>
    </w:p>
    <w:p>
      <w:pPr>
        <w:spacing w:line="400" w:lineRule="exact"/>
        <w:rPr>
          <w:rFonts w:hint="eastAsia" w:ascii="宋体" w:hAnsi="宋体"/>
          <w:color w:val="auto"/>
          <w:sz w:val="24"/>
        </w:rPr>
      </w:pPr>
      <w:r>
        <w:rPr>
          <w:rFonts w:hint="eastAsia" w:ascii="宋体" w:hAnsi="宋体"/>
          <w:color w:val="auto"/>
          <w:sz w:val="24"/>
        </w:rPr>
        <w:t>　</w:t>
      </w:r>
      <w:r>
        <w:rPr>
          <w:rFonts w:hint="eastAsia" w:ascii="宋体" w:hAnsi="宋体"/>
          <w:color w:val="auto"/>
          <w:sz w:val="24"/>
          <w:lang w:eastAsia="zh-CN"/>
        </w:rPr>
        <w:t>⑦</w:t>
      </w:r>
      <w:r>
        <w:rPr>
          <w:rFonts w:hint="eastAsia" w:ascii="宋体" w:hAnsi="宋体"/>
          <w:color w:val="auto"/>
          <w:sz w:val="24"/>
        </w:rPr>
        <w:t>“知法.懂法.守法.”针对性开展校园安全法制教育。学校利用板报、宣传画、安全教育光碟等多种宣传阵地宣传安全知识，对师生进行防火，防灾，防盗，防骗，防电，防溺水，防食物中毒，防流行疾病，交通安全等教育，举行了一次大型的全校性的消防疏散演练和防震减灾演练。提高了学生自护自救的能力，也磨合、提高学校的应激应对、防灾减灾能力。聘请海宁人民检察院周镧法制副校长，指导学校法制教育。进行了青少年法庭观摩活动，针对现阶段存在问题较多的网络安全、黄赌毒等进行了专题讲座。</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⑧</w:t>
      </w:r>
      <w:r>
        <w:rPr>
          <w:rFonts w:hint="eastAsia" w:ascii="宋体" w:hAnsi="宋体"/>
          <w:color w:val="auto"/>
          <w:sz w:val="24"/>
        </w:rPr>
        <w:t>“全民禁毒，我参与”，踏实开展学校禁毒教育。</w:t>
      </w:r>
      <w:r>
        <w:rPr>
          <w:rFonts w:hint="eastAsia" w:ascii="宋体" w:hAnsi="宋体"/>
          <w:bCs/>
          <w:color w:val="auto"/>
          <w:sz w:val="24"/>
        </w:rPr>
        <w:t>在各级领导的支持下，2</w:t>
      </w:r>
      <w:r>
        <w:rPr>
          <w:rFonts w:ascii="宋体" w:hAnsi="宋体"/>
          <w:bCs/>
          <w:color w:val="auto"/>
          <w:sz w:val="24"/>
        </w:rPr>
        <w:t>015年</w:t>
      </w:r>
      <w:r>
        <w:rPr>
          <w:rFonts w:hint="eastAsia" w:ascii="宋体" w:hAnsi="宋体"/>
          <w:bCs/>
          <w:color w:val="auto"/>
          <w:sz w:val="24"/>
          <w:lang w:eastAsia="zh-CN"/>
        </w:rPr>
        <w:t>学校</w:t>
      </w:r>
      <w:r>
        <w:rPr>
          <w:rFonts w:hint="eastAsia" w:ascii="宋体" w:hAnsi="宋体"/>
          <w:bCs/>
          <w:color w:val="auto"/>
          <w:sz w:val="24"/>
        </w:rPr>
        <w:t>成功争创省级禁毒示范基地。在此基础上，踏实开展禁毒教育系列活动，道德讲堂、教育讲座、知识竞赛、禁毒征文比赛、给家长的一封信等多种形式展开，范围覆盖学生、教职工级家长、社会等多层面，切实把禁毒教育工作做细、做实，引导学生“珍爱生命，远离毒品，争做健康海卫学子”，为品牌学校建设添砖加瓦。</w:t>
      </w:r>
    </w:p>
    <w:p>
      <w:pPr>
        <w:spacing w:line="400" w:lineRule="exact"/>
        <w:ind w:firstLine="482" w:firstLineChars="200"/>
        <w:rPr>
          <w:rFonts w:hint="eastAsia" w:ascii="宋体" w:hAnsi="宋体"/>
          <w:b/>
          <w:bCs/>
          <w:color w:val="auto"/>
          <w:sz w:val="24"/>
        </w:rPr>
      </w:pPr>
      <w:r>
        <w:rPr>
          <w:rFonts w:hint="eastAsia" w:ascii="宋体" w:hAnsi="宋体"/>
          <w:b/>
          <w:bCs/>
          <w:color w:val="auto"/>
          <w:sz w:val="24"/>
        </w:rPr>
        <w:t>（</w:t>
      </w:r>
      <w:r>
        <w:rPr>
          <w:rFonts w:hint="eastAsia" w:ascii="宋体" w:hAnsi="宋体"/>
          <w:b/>
          <w:bCs/>
          <w:color w:val="auto"/>
          <w:sz w:val="24"/>
          <w:lang w:val="en-US" w:eastAsia="zh-CN"/>
        </w:rPr>
        <w:t>4</w:t>
      </w:r>
      <w:r>
        <w:rPr>
          <w:rFonts w:hint="eastAsia" w:ascii="宋体" w:hAnsi="宋体"/>
          <w:b/>
          <w:bCs/>
          <w:color w:val="auto"/>
          <w:sz w:val="24"/>
        </w:rPr>
        <w:t>）构建家校联系，发挥家庭、社会教育协力作用。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auto"/>
          <w:sz w:val="24"/>
        </w:rPr>
      </w:pPr>
      <w:r>
        <w:rPr>
          <w:rFonts w:hint="eastAsia" w:ascii="宋体" w:hAnsi="宋体"/>
          <w:color w:val="auto"/>
          <w:sz w:val="24"/>
        </w:rPr>
        <w:t>学校加强与家长的沟通联系。通过家长会、校讯通、书面调查表等形式开展家校联系活动。</w:t>
      </w:r>
      <w:r>
        <w:rPr>
          <w:rFonts w:hint="eastAsia" w:ascii="宋体" w:hAnsi="宋体"/>
          <w:color w:val="auto"/>
          <w:sz w:val="24"/>
          <w:lang w:eastAsia="zh-CN"/>
        </w:rPr>
        <w:t>本年度</w:t>
      </w:r>
      <w:r>
        <w:rPr>
          <w:rFonts w:hint="eastAsia" w:ascii="宋体" w:hAnsi="宋体"/>
          <w:color w:val="auto"/>
          <w:sz w:val="24"/>
        </w:rPr>
        <w:t>组织成立了家委会，并邀请家委会成员观摩</w:t>
      </w:r>
      <w:r>
        <w:rPr>
          <w:rFonts w:hint="eastAsia" w:ascii="宋体" w:hAnsi="宋体"/>
          <w:color w:val="auto"/>
          <w:sz w:val="24"/>
          <w:lang w:eastAsia="zh-CN"/>
        </w:rPr>
        <w:t>学校</w:t>
      </w:r>
      <w:r>
        <w:rPr>
          <w:rFonts w:hint="eastAsia" w:ascii="宋体" w:hAnsi="宋体"/>
          <w:color w:val="auto"/>
          <w:sz w:val="24"/>
        </w:rPr>
        <w:t>的品牌德育活动。本年度先后针对不同年级学生，学校举行了5次家长会，有岗前家长会、补考学生家长会、常规班级组织的家长会形式，特别是进岗前家长会，家长到会率高达90%以上，家校合作，取得良好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auto"/>
          <w:sz w:val="24"/>
        </w:rPr>
      </w:pPr>
      <w:r>
        <w:rPr>
          <w:rFonts w:hint="eastAsia" w:ascii="宋体" w:hAnsi="宋体"/>
          <w:color w:val="auto"/>
          <w:sz w:val="24"/>
        </w:rPr>
        <w:t>同时</w:t>
      </w:r>
      <w:r>
        <w:rPr>
          <w:rFonts w:hint="eastAsia" w:ascii="宋体" w:hAnsi="宋体"/>
          <w:color w:val="auto"/>
          <w:sz w:val="24"/>
          <w:lang w:eastAsia="zh-CN"/>
        </w:rPr>
        <w:t>学校</w:t>
      </w:r>
      <w:r>
        <w:rPr>
          <w:rFonts w:hint="eastAsia" w:ascii="宋体" w:hAnsi="宋体"/>
          <w:color w:val="auto"/>
          <w:sz w:val="24"/>
        </w:rPr>
        <w:t xml:space="preserve">团委、学生会结合学生实际积极组织开展的青年志愿者活动，通过志愿者活动给学生提供了社会学习的第二课堂。为硖石敬老院、海宁市儿童福利院、市聋哑学校、市老年公寓等开展基础医疗服务，打扫卫生、爱心联欢等一系列志愿者活动，尤其结合一些对青少年有教育意义的日子开展意义深远的志愿者活动。   </w:t>
      </w:r>
    </w:p>
    <w:p>
      <w:pPr>
        <w:pStyle w:val="3"/>
        <w:keepNext w:val="0"/>
        <w:keepLines w:val="0"/>
        <w:adjustRightInd w:val="0"/>
        <w:snapToGrid w:val="0"/>
        <w:spacing w:line="360" w:lineRule="auto"/>
        <w:ind w:firstLine="482" w:firstLineChars="200"/>
        <w:rPr>
          <w:rFonts w:ascii="黑体" w:hAnsi="黑体"/>
          <w:color w:val="auto"/>
          <w:sz w:val="24"/>
        </w:rPr>
      </w:pPr>
      <w:bookmarkStart w:id="41" w:name="_Toc471905926"/>
      <w:r>
        <w:rPr>
          <w:rFonts w:hint="eastAsia" w:ascii="黑体" w:hAnsi="黑体"/>
          <w:color w:val="auto"/>
          <w:sz w:val="24"/>
        </w:rPr>
        <w:t>3.4.3财务管理</w:t>
      </w:r>
      <w:bookmarkEnd w:id="41"/>
    </w:p>
    <w:p>
      <w:p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学校执行事业单位会计制度，工资和福利支出以权责发生制为原则。学校财务管理实行“自主运行、多方监管”的方式，由市卫计局、教育局、财政局和审计局监管财务活动。由校长统领计财工作，分管行政后勤计财的副校长具体负责，计财处长全面负责学校财务的日常工作，设置计划财务处长、复核会计、记账会计、出纳会计共4名，全面实施规范化、制度化管理，建立科学运行机制，健全完善管理制度，规范操作流程，严守财经纪律。核算原则为“以收定支”，负责本校经费的收支管理、财务管理、经费上缴、会计核算、教育统计及上报等工作。定期召开教职工代表大会审议学校年度财务工作报告。在业务上接受市卫计、教育、财政和</w:t>
      </w:r>
      <w:r>
        <w:rPr>
          <w:rFonts w:ascii="宋体" w:hAnsi="宋体" w:cs="宋体"/>
          <w:color w:val="auto"/>
          <w:sz w:val="24"/>
        </w:rPr>
        <w:t>审计</w:t>
      </w:r>
      <w:r>
        <w:rPr>
          <w:rFonts w:hint="eastAsia" w:ascii="宋体" w:hAnsi="宋体" w:cs="宋体"/>
          <w:color w:val="auto"/>
          <w:sz w:val="24"/>
        </w:rPr>
        <w:t>局的指导、检查和监督，定期及时报送财务报告，按要求编制经费预算，建立健全经费收支财账册和固定资产账册，规范票据管理及会计信息资料建设与管理。</w:t>
      </w:r>
    </w:p>
    <w:p>
      <w:pPr>
        <w:pStyle w:val="3"/>
        <w:keepNext w:val="0"/>
        <w:keepLines w:val="0"/>
        <w:adjustRightInd w:val="0"/>
        <w:snapToGrid w:val="0"/>
        <w:spacing w:line="360" w:lineRule="auto"/>
        <w:ind w:firstLine="482" w:firstLineChars="200"/>
        <w:rPr>
          <w:rFonts w:ascii="黑体" w:hAnsi="黑体"/>
          <w:color w:val="auto"/>
          <w:sz w:val="24"/>
        </w:rPr>
      </w:pPr>
      <w:bookmarkStart w:id="42" w:name="_Toc471905927"/>
      <w:r>
        <w:rPr>
          <w:rFonts w:hint="eastAsia" w:ascii="黑体" w:hAnsi="黑体"/>
          <w:color w:val="auto"/>
          <w:sz w:val="24"/>
        </w:rPr>
        <w:t>3.4.4后勤管理</w:t>
      </w:r>
      <w:bookmarkEnd w:id="42"/>
    </w:p>
    <w:p>
      <w:pPr>
        <w:autoSpaceDE w:val="0"/>
        <w:autoSpaceDN w:val="0"/>
        <w:adjustRightInd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学</w:t>
      </w:r>
      <w:r>
        <w:rPr>
          <w:rFonts w:cs="宋体" w:asciiTheme="minorEastAsia" w:hAnsiTheme="minorEastAsia" w:eastAsiaTheme="minorEastAsia"/>
          <w:color w:val="auto"/>
          <w:sz w:val="24"/>
        </w:rPr>
        <w:t>校设置有总务</w:t>
      </w:r>
      <w:r>
        <w:rPr>
          <w:rFonts w:hint="eastAsia" w:cs="宋体" w:asciiTheme="minorEastAsia" w:hAnsiTheme="minorEastAsia" w:eastAsiaTheme="minorEastAsia"/>
          <w:color w:val="auto"/>
          <w:sz w:val="24"/>
        </w:rPr>
        <w:t>处，总务</w:t>
      </w:r>
      <w:r>
        <w:rPr>
          <w:rFonts w:cs="宋体" w:asciiTheme="minorEastAsia" w:hAnsiTheme="minorEastAsia" w:eastAsiaTheme="minorEastAsia"/>
          <w:color w:val="auto"/>
          <w:sz w:val="24"/>
        </w:rPr>
        <w:t>处长全面负责后勤保障工作</w:t>
      </w:r>
      <w:r>
        <w:rPr>
          <w:rFonts w:hint="eastAsia" w:cs="宋体" w:asciiTheme="minorEastAsia" w:hAnsiTheme="minorEastAsia" w:eastAsiaTheme="minorEastAsia"/>
          <w:color w:val="auto"/>
          <w:sz w:val="24"/>
        </w:rPr>
        <w:t>，另</w:t>
      </w:r>
      <w:r>
        <w:rPr>
          <w:rFonts w:cs="宋体" w:asciiTheme="minorEastAsia" w:hAnsiTheme="minorEastAsia" w:eastAsiaTheme="minorEastAsia"/>
          <w:color w:val="auto"/>
          <w:sz w:val="24"/>
        </w:rPr>
        <w:t>有副处长</w:t>
      </w:r>
      <w:r>
        <w:rPr>
          <w:rFonts w:hint="eastAsia" w:cs="宋体" w:asciiTheme="minorEastAsia" w:hAnsiTheme="minorEastAsia" w:eastAsiaTheme="minorEastAsia"/>
          <w:color w:val="auto"/>
          <w:sz w:val="24"/>
        </w:rPr>
        <w:t>、维修</w:t>
      </w:r>
      <w:r>
        <w:rPr>
          <w:rFonts w:cs="宋体" w:asciiTheme="minorEastAsia" w:hAnsiTheme="minorEastAsia" w:eastAsiaTheme="minorEastAsia"/>
          <w:color w:val="auto"/>
          <w:sz w:val="24"/>
        </w:rPr>
        <w:t>工</w:t>
      </w:r>
      <w:r>
        <w:rPr>
          <w:rFonts w:hint="eastAsia" w:cs="宋体" w:asciiTheme="minorEastAsia" w:hAnsiTheme="minorEastAsia" w:eastAsiaTheme="minorEastAsia"/>
          <w:color w:val="auto"/>
          <w:sz w:val="24"/>
        </w:rPr>
        <w:t>、水</w:t>
      </w:r>
      <w:r>
        <w:rPr>
          <w:rFonts w:cs="宋体" w:asciiTheme="minorEastAsia" w:hAnsiTheme="minorEastAsia" w:eastAsiaTheme="minorEastAsia"/>
          <w:color w:val="auto"/>
          <w:sz w:val="24"/>
        </w:rPr>
        <w:t>电工</w:t>
      </w:r>
      <w:r>
        <w:rPr>
          <w:rFonts w:hint="eastAsia" w:cs="宋体" w:asciiTheme="minorEastAsia" w:hAnsiTheme="minorEastAsia" w:eastAsiaTheme="minorEastAsia"/>
          <w:color w:val="auto"/>
          <w:sz w:val="24"/>
        </w:rPr>
        <w:t>、仓库</w:t>
      </w:r>
      <w:r>
        <w:rPr>
          <w:rFonts w:cs="宋体" w:asciiTheme="minorEastAsia" w:hAnsiTheme="minorEastAsia" w:eastAsiaTheme="minorEastAsia"/>
          <w:color w:val="auto"/>
          <w:sz w:val="24"/>
        </w:rPr>
        <w:t>保管员</w:t>
      </w:r>
      <w:r>
        <w:rPr>
          <w:rFonts w:hint="eastAsia" w:cs="宋体" w:asciiTheme="minorEastAsia" w:hAnsiTheme="minorEastAsia" w:eastAsiaTheme="minorEastAsia"/>
          <w:color w:val="auto"/>
          <w:sz w:val="24"/>
        </w:rPr>
        <w:t>、网络信息</w:t>
      </w:r>
      <w:r>
        <w:rPr>
          <w:rFonts w:cs="宋体" w:asciiTheme="minorEastAsia" w:hAnsiTheme="minorEastAsia" w:eastAsiaTheme="minorEastAsia"/>
          <w:color w:val="auto"/>
          <w:sz w:val="24"/>
        </w:rPr>
        <w:t>管理</w:t>
      </w:r>
      <w:r>
        <w:rPr>
          <w:rFonts w:hint="eastAsia" w:cs="宋体" w:asciiTheme="minorEastAsia" w:hAnsiTheme="minorEastAsia" w:eastAsiaTheme="minorEastAsia"/>
          <w:color w:val="auto"/>
          <w:sz w:val="24"/>
        </w:rPr>
        <w:t>维修</w:t>
      </w:r>
      <w:r>
        <w:rPr>
          <w:rFonts w:cs="宋体" w:asciiTheme="minorEastAsia" w:hAnsiTheme="minorEastAsia" w:eastAsiaTheme="minorEastAsia"/>
          <w:color w:val="auto"/>
          <w:sz w:val="24"/>
        </w:rPr>
        <w:t>员</w:t>
      </w:r>
      <w:r>
        <w:rPr>
          <w:rFonts w:hint="eastAsia" w:cs="宋体" w:asciiTheme="minorEastAsia" w:hAnsiTheme="minorEastAsia" w:eastAsiaTheme="minorEastAsia"/>
          <w:color w:val="auto"/>
          <w:sz w:val="24"/>
        </w:rPr>
        <w:t>等共</w:t>
      </w:r>
      <w:r>
        <w:rPr>
          <w:rFonts w:cs="宋体" w:asciiTheme="minorEastAsia" w:hAnsiTheme="minorEastAsia" w:eastAsiaTheme="minorEastAsia"/>
          <w:color w:val="auto"/>
          <w:sz w:val="24"/>
        </w:rPr>
        <w:t>8</w:t>
      </w:r>
      <w:r>
        <w:rPr>
          <w:rFonts w:hint="eastAsia" w:cs="宋体" w:asciiTheme="minorEastAsia" w:hAnsiTheme="minorEastAsia" w:eastAsiaTheme="minorEastAsia"/>
          <w:color w:val="auto"/>
          <w:sz w:val="24"/>
        </w:rPr>
        <w:t>名</w:t>
      </w:r>
      <w:r>
        <w:rPr>
          <w:rFonts w:cs="宋体" w:asciiTheme="minorEastAsia" w:hAnsiTheme="minorEastAsia" w:eastAsiaTheme="minorEastAsia"/>
          <w:color w:val="auto"/>
          <w:sz w:val="24"/>
        </w:rPr>
        <w:t>工作人员</w:t>
      </w:r>
      <w:r>
        <w:rPr>
          <w:rFonts w:hint="eastAsia" w:cs="宋体" w:asciiTheme="minorEastAsia" w:hAnsiTheme="minorEastAsia" w:eastAsiaTheme="minorEastAsia"/>
          <w:color w:val="auto"/>
          <w:sz w:val="24"/>
        </w:rPr>
        <w:t>，职责</w:t>
      </w:r>
      <w:r>
        <w:rPr>
          <w:rFonts w:cs="宋体" w:asciiTheme="minorEastAsia" w:hAnsiTheme="minorEastAsia" w:eastAsiaTheme="minorEastAsia"/>
          <w:color w:val="auto"/>
          <w:sz w:val="24"/>
        </w:rPr>
        <w:t>明确</w:t>
      </w:r>
      <w:r>
        <w:rPr>
          <w:rFonts w:hint="eastAsia" w:cs="宋体" w:asciiTheme="minorEastAsia" w:hAnsiTheme="minorEastAsia" w:eastAsiaTheme="minorEastAsia"/>
          <w:color w:val="auto"/>
          <w:sz w:val="24"/>
        </w:rPr>
        <w:t>，分</w:t>
      </w:r>
      <w:r>
        <w:rPr>
          <w:rFonts w:cs="宋体" w:asciiTheme="minorEastAsia" w:hAnsiTheme="minorEastAsia" w:eastAsiaTheme="minorEastAsia"/>
          <w:color w:val="auto"/>
          <w:sz w:val="24"/>
        </w:rPr>
        <w:t>工协作</w:t>
      </w:r>
      <w:r>
        <w:rPr>
          <w:rFonts w:hint="eastAsia" w:cs="宋体" w:asciiTheme="minorEastAsia" w:hAnsiTheme="minorEastAsia" w:eastAsiaTheme="minorEastAsia"/>
          <w:color w:val="auto"/>
          <w:sz w:val="24"/>
        </w:rPr>
        <w:t>，团</w:t>
      </w:r>
      <w:r>
        <w:rPr>
          <w:rFonts w:cs="宋体" w:asciiTheme="minorEastAsia" w:hAnsiTheme="minorEastAsia" w:eastAsiaTheme="minorEastAsia"/>
          <w:color w:val="auto"/>
          <w:sz w:val="24"/>
        </w:rPr>
        <w:t>队合作</w:t>
      </w:r>
      <w:r>
        <w:rPr>
          <w:rFonts w:hint="eastAsia" w:cs="宋体" w:asciiTheme="minorEastAsia" w:hAnsiTheme="minorEastAsia" w:eastAsiaTheme="minorEastAsia"/>
          <w:color w:val="auto"/>
          <w:sz w:val="24"/>
        </w:rPr>
        <w:t>。后勤服务</w:t>
      </w:r>
      <w:r>
        <w:rPr>
          <w:rFonts w:cs="宋体" w:asciiTheme="minorEastAsia" w:hAnsiTheme="minorEastAsia" w:eastAsiaTheme="minorEastAsia"/>
          <w:color w:val="auto"/>
          <w:sz w:val="24"/>
        </w:rPr>
        <w:t>致力于改善服务质量</w:t>
      </w:r>
      <w:r>
        <w:rPr>
          <w:rFonts w:hint="eastAsia" w:cs="宋体" w:asciiTheme="minorEastAsia" w:hAnsiTheme="minorEastAsia" w:eastAsiaTheme="minorEastAsia"/>
          <w:color w:val="auto"/>
          <w:sz w:val="24"/>
        </w:rPr>
        <w:t>、提</w:t>
      </w:r>
      <w:r>
        <w:rPr>
          <w:rFonts w:cs="宋体" w:asciiTheme="minorEastAsia" w:hAnsiTheme="minorEastAsia" w:eastAsiaTheme="minorEastAsia"/>
          <w:color w:val="auto"/>
          <w:sz w:val="24"/>
        </w:rPr>
        <w:t>高服务能力和水平</w:t>
      </w:r>
      <w:r>
        <w:rPr>
          <w:rFonts w:hint="eastAsia" w:cs="宋体" w:asciiTheme="minorEastAsia" w:hAnsiTheme="minorEastAsia" w:eastAsiaTheme="minorEastAsia"/>
          <w:color w:val="auto"/>
          <w:sz w:val="24"/>
        </w:rPr>
        <w:t>。着</w:t>
      </w:r>
      <w:r>
        <w:rPr>
          <w:rFonts w:cs="宋体" w:asciiTheme="minorEastAsia" w:hAnsiTheme="minorEastAsia" w:eastAsiaTheme="minorEastAsia"/>
          <w:color w:val="auto"/>
          <w:sz w:val="24"/>
        </w:rPr>
        <w:t>重做好日常维修保养</w:t>
      </w:r>
      <w:r>
        <w:rPr>
          <w:rFonts w:hint="eastAsia" w:cs="宋体" w:asciiTheme="minorEastAsia" w:hAnsiTheme="minorEastAsia" w:eastAsiaTheme="minorEastAsia"/>
          <w:color w:val="auto"/>
          <w:sz w:val="24"/>
        </w:rPr>
        <w:t>、物</w:t>
      </w:r>
      <w:r>
        <w:rPr>
          <w:rFonts w:cs="宋体" w:asciiTheme="minorEastAsia" w:hAnsiTheme="minorEastAsia" w:eastAsiaTheme="minorEastAsia"/>
          <w:color w:val="auto"/>
          <w:sz w:val="24"/>
        </w:rPr>
        <w:t>资采购</w:t>
      </w:r>
      <w:r>
        <w:rPr>
          <w:rFonts w:hint="eastAsia" w:cs="宋体" w:asciiTheme="minorEastAsia" w:hAnsiTheme="minorEastAsia" w:eastAsiaTheme="minorEastAsia"/>
          <w:color w:val="auto"/>
          <w:sz w:val="24"/>
        </w:rPr>
        <w:t>供应、</w:t>
      </w:r>
      <w:r>
        <w:rPr>
          <w:rFonts w:cs="宋体" w:asciiTheme="minorEastAsia" w:hAnsiTheme="minorEastAsia" w:eastAsiaTheme="minorEastAsia"/>
          <w:color w:val="auto"/>
          <w:sz w:val="24"/>
        </w:rPr>
        <w:t>工程建设</w:t>
      </w:r>
      <w:r>
        <w:rPr>
          <w:rFonts w:hint="eastAsia" w:cs="宋体" w:asciiTheme="minorEastAsia" w:hAnsiTheme="minorEastAsia" w:eastAsiaTheme="minorEastAsia"/>
          <w:color w:val="auto"/>
          <w:sz w:val="24"/>
        </w:rPr>
        <w:t>管理、项目</w:t>
      </w:r>
      <w:r>
        <w:rPr>
          <w:rFonts w:cs="宋体" w:asciiTheme="minorEastAsia" w:hAnsiTheme="minorEastAsia" w:eastAsiaTheme="minorEastAsia"/>
          <w:color w:val="auto"/>
          <w:sz w:val="24"/>
        </w:rPr>
        <w:t>后勤保障</w:t>
      </w:r>
      <w:r>
        <w:rPr>
          <w:rFonts w:hint="eastAsia" w:cs="宋体" w:asciiTheme="minorEastAsia" w:hAnsiTheme="minorEastAsia" w:eastAsiaTheme="minorEastAsia"/>
          <w:color w:val="auto"/>
          <w:sz w:val="24"/>
        </w:rPr>
        <w:t>、固</w:t>
      </w:r>
      <w:r>
        <w:rPr>
          <w:rFonts w:cs="宋体" w:asciiTheme="minorEastAsia" w:hAnsiTheme="minorEastAsia" w:eastAsiaTheme="minorEastAsia"/>
          <w:color w:val="auto"/>
          <w:sz w:val="24"/>
        </w:rPr>
        <w:t>定资产</w:t>
      </w:r>
      <w:r>
        <w:rPr>
          <w:rFonts w:hint="eastAsia" w:cs="宋体" w:asciiTheme="minorEastAsia" w:hAnsiTheme="minorEastAsia" w:eastAsiaTheme="minorEastAsia"/>
          <w:color w:val="auto"/>
          <w:sz w:val="24"/>
        </w:rPr>
        <w:t>管理</w:t>
      </w:r>
      <w:r>
        <w:rPr>
          <w:rFonts w:cs="宋体" w:asciiTheme="minorEastAsia" w:hAnsiTheme="minorEastAsia" w:eastAsiaTheme="minorEastAsia"/>
          <w:color w:val="auto"/>
          <w:sz w:val="24"/>
        </w:rPr>
        <w:t>等工作</w:t>
      </w: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贯彻</w:t>
      </w:r>
      <w:r>
        <w:rPr>
          <w:rFonts w:hint="eastAsia" w:cs="宋体" w:asciiTheme="minorEastAsia" w:hAnsiTheme="minorEastAsia" w:eastAsiaTheme="minorEastAsia"/>
          <w:color w:val="auto"/>
          <w:sz w:val="24"/>
        </w:rPr>
        <w:t>“安全、主</w:t>
      </w:r>
      <w:r>
        <w:rPr>
          <w:rFonts w:cs="宋体" w:asciiTheme="minorEastAsia" w:hAnsiTheme="minorEastAsia" w:eastAsiaTheme="minorEastAsia"/>
          <w:color w:val="auto"/>
          <w:sz w:val="24"/>
        </w:rPr>
        <w:t>动</w:t>
      </w:r>
      <w:r>
        <w:rPr>
          <w:rFonts w:hint="eastAsia" w:cs="宋体" w:asciiTheme="minorEastAsia" w:hAnsiTheme="minorEastAsia" w:eastAsiaTheme="minorEastAsia"/>
          <w:color w:val="auto"/>
          <w:sz w:val="24"/>
        </w:rPr>
        <w:t>、高</w:t>
      </w:r>
      <w:r>
        <w:rPr>
          <w:rFonts w:cs="宋体" w:asciiTheme="minorEastAsia" w:hAnsiTheme="minorEastAsia" w:eastAsiaTheme="minorEastAsia"/>
          <w:color w:val="auto"/>
          <w:sz w:val="24"/>
        </w:rPr>
        <w:t>效</w:t>
      </w:r>
      <w:r>
        <w:rPr>
          <w:rFonts w:hint="eastAsia" w:cs="宋体" w:asciiTheme="minorEastAsia" w:hAnsiTheme="minorEastAsia" w:eastAsiaTheme="minorEastAsia"/>
          <w:color w:val="auto"/>
          <w:sz w:val="24"/>
        </w:rPr>
        <w:t>、节</w:t>
      </w:r>
      <w:r>
        <w:rPr>
          <w:rFonts w:cs="宋体" w:asciiTheme="minorEastAsia" w:hAnsiTheme="minorEastAsia" w:eastAsiaTheme="minorEastAsia"/>
          <w:color w:val="auto"/>
          <w:sz w:val="24"/>
        </w:rPr>
        <w:t>约</w:t>
      </w:r>
      <w:r>
        <w:rPr>
          <w:rFonts w:hint="eastAsia" w:cs="宋体" w:asciiTheme="minorEastAsia" w:hAnsiTheme="minorEastAsia" w:eastAsiaTheme="minorEastAsia"/>
          <w:color w:val="auto"/>
          <w:sz w:val="24"/>
        </w:rPr>
        <w:t>、绩</w:t>
      </w:r>
      <w:r>
        <w:rPr>
          <w:rFonts w:cs="宋体" w:asciiTheme="minorEastAsia" w:hAnsiTheme="minorEastAsia" w:eastAsiaTheme="minorEastAsia"/>
          <w:color w:val="auto"/>
          <w:sz w:val="24"/>
        </w:rPr>
        <w:t>效</w:t>
      </w:r>
      <w:r>
        <w:rPr>
          <w:rFonts w:hint="eastAsia" w:cs="宋体" w:asciiTheme="minorEastAsia" w:hAnsiTheme="minorEastAsia" w:eastAsiaTheme="minorEastAsia"/>
          <w:color w:val="auto"/>
          <w:sz w:val="24"/>
        </w:rPr>
        <w:t>、奉献、廉洁”工</w:t>
      </w:r>
      <w:r>
        <w:rPr>
          <w:rFonts w:cs="宋体" w:asciiTheme="minorEastAsia" w:hAnsiTheme="minorEastAsia" w:eastAsiaTheme="minorEastAsia"/>
          <w:color w:val="auto"/>
          <w:sz w:val="24"/>
        </w:rPr>
        <w:t>作</w:t>
      </w:r>
      <w:r>
        <w:rPr>
          <w:rFonts w:hint="eastAsia" w:cs="宋体" w:asciiTheme="minorEastAsia" w:hAnsiTheme="minorEastAsia" w:eastAsiaTheme="minorEastAsia"/>
          <w:color w:val="auto"/>
          <w:sz w:val="24"/>
        </w:rPr>
        <w:t>理念，工</w:t>
      </w:r>
      <w:r>
        <w:rPr>
          <w:rFonts w:cs="宋体" w:asciiTheme="minorEastAsia" w:hAnsiTheme="minorEastAsia" w:eastAsiaTheme="minorEastAsia"/>
          <w:color w:val="auto"/>
          <w:sz w:val="24"/>
        </w:rPr>
        <w:t>作过程中</w:t>
      </w:r>
      <w:r>
        <w:rPr>
          <w:rFonts w:hint="eastAsia" w:cs="宋体" w:asciiTheme="minorEastAsia" w:hAnsiTheme="minorEastAsia" w:eastAsiaTheme="minorEastAsia"/>
          <w:color w:val="auto"/>
          <w:sz w:val="24"/>
        </w:rPr>
        <w:t>注重</w:t>
      </w:r>
      <w:r>
        <w:rPr>
          <w:rFonts w:cs="宋体" w:asciiTheme="minorEastAsia" w:hAnsiTheme="minorEastAsia" w:eastAsiaTheme="minorEastAsia"/>
          <w:color w:val="auto"/>
          <w:sz w:val="24"/>
        </w:rPr>
        <w:t>规范化</w:t>
      </w:r>
      <w:r>
        <w:rPr>
          <w:rFonts w:hint="eastAsia" w:cs="宋体" w:asciiTheme="minorEastAsia" w:hAnsiTheme="minorEastAsia" w:eastAsiaTheme="minorEastAsia"/>
          <w:color w:val="auto"/>
          <w:sz w:val="24"/>
        </w:rPr>
        <w:t>、制度</w:t>
      </w:r>
      <w:r>
        <w:rPr>
          <w:rFonts w:cs="宋体" w:asciiTheme="minorEastAsia" w:hAnsiTheme="minorEastAsia" w:eastAsiaTheme="minorEastAsia"/>
          <w:color w:val="auto"/>
          <w:sz w:val="24"/>
        </w:rPr>
        <w:t>化</w:t>
      </w:r>
      <w:r>
        <w:rPr>
          <w:rFonts w:hint="eastAsia" w:cs="宋体" w:asciiTheme="minorEastAsia" w:hAnsiTheme="minorEastAsia" w:eastAsiaTheme="minorEastAsia"/>
          <w:color w:val="auto"/>
          <w:sz w:val="24"/>
        </w:rPr>
        <w:t>、程序</w:t>
      </w:r>
      <w:r>
        <w:rPr>
          <w:rFonts w:cs="宋体" w:asciiTheme="minorEastAsia" w:hAnsiTheme="minorEastAsia" w:eastAsiaTheme="minorEastAsia"/>
          <w:color w:val="auto"/>
          <w:sz w:val="24"/>
        </w:rPr>
        <w:t>化</w:t>
      </w:r>
      <w:r>
        <w:rPr>
          <w:rFonts w:hint="eastAsia" w:cs="宋体" w:asciiTheme="minorEastAsia" w:hAnsiTheme="minorEastAsia" w:eastAsiaTheme="minorEastAsia"/>
          <w:color w:val="auto"/>
          <w:sz w:val="24"/>
        </w:rPr>
        <w:t>，严格</w:t>
      </w:r>
      <w:r>
        <w:rPr>
          <w:rFonts w:cs="宋体" w:asciiTheme="minorEastAsia" w:hAnsiTheme="minorEastAsia" w:eastAsiaTheme="minorEastAsia"/>
          <w:color w:val="auto"/>
          <w:sz w:val="24"/>
        </w:rPr>
        <w:t>执行</w:t>
      </w:r>
      <w:r>
        <w:rPr>
          <w:rFonts w:hint="eastAsia" w:cs="宋体" w:asciiTheme="minorEastAsia" w:hAnsiTheme="minorEastAsia" w:eastAsiaTheme="minorEastAsia"/>
          <w:color w:val="auto"/>
          <w:sz w:val="24"/>
        </w:rPr>
        <w:t>《海</w:t>
      </w:r>
      <w:r>
        <w:rPr>
          <w:rFonts w:cs="宋体" w:asciiTheme="minorEastAsia" w:hAnsiTheme="minorEastAsia" w:eastAsiaTheme="minorEastAsia"/>
          <w:color w:val="auto"/>
          <w:sz w:val="24"/>
        </w:rPr>
        <w:t>宁卫生学校物资采购管理制度</w:t>
      </w:r>
      <w:r>
        <w:rPr>
          <w:rFonts w:hint="eastAsia" w:cs="宋体" w:asciiTheme="minorEastAsia" w:hAnsiTheme="minorEastAsia" w:eastAsiaTheme="minorEastAsia"/>
          <w:color w:val="auto"/>
          <w:sz w:val="24"/>
        </w:rPr>
        <w:t>》，依</w:t>
      </w:r>
      <w:r>
        <w:rPr>
          <w:rFonts w:cs="宋体" w:asciiTheme="minorEastAsia" w:hAnsiTheme="minorEastAsia" w:eastAsiaTheme="minorEastAsia"/>
          <w:color w:val="auto"/>
          <w:sz w:val="24"/>
        </w:rPr>
        <w:t>托采购</w:t>
      </w:r>
      <w:r>
        <w:rPr>
          <w:rFonts w:hint="eastAsia" w:cs="宋体" w:asciiTheme="minorEastAsia" w:hAnsiTheme="minorEastAsia" w:eastAsiaTheme="minorEastAsia"/>
          <w:color w:val="auto"/>
          <w:sz w:val="24"/>
        </w:rPr>
        <w:t>、验</w:t>
      </w:r>
      <w:r>
        <w:rPr>
          <w:rFonts w:cs="宋体" w:asciiTheme="minorEastAsia" w:hAnsiTheme="minorEastAsia" w:eastAsiaTheme="minorEastAsia"/>
          <w:color w:val="auto"/>
          <w:sz w:val="24"/>
        </w:rPr>
        <w:t>收</w:t>
      </w:r>
      <w:r>
        <w:rPr>
          <w:rFonts w:hint="eastAsia" w:cs="宋体" w:asciiTheme="minorEastAsia" w:hAnsiTheme="minorEastAsia" w:eastAsiaTheme="minorEastAsia"/>
          <w:color w:val="auto"/>
          <w:sz w:val="24"/>
        </w:rPr>
        <w:t>、监督</w:t>
      </w:r>
      <w:r>
        <w:rPr>
          <w:rFonts w:cs="宋体" w:asciiTheme="minorEastAsia" w:hAnsiTheme="minorEastAsia" w:eastAsiaTheme="minorEastAsia"/>
          <w:color w:val="auto"/>
          <w:sz w:val="24"/>
        </w:rPr>
        <w:t>三个小组开展</w:t>
      </w:r>
      <w:r>
        <w:rPr>
          <w:rFonts w:hint="eastAsia" w:cs="宋体" w:asciiTheme="minorEastAsia" w:hAnsiTheme="minorEastAsia" w:eastAsiaTheme="minorEastAsia"/>
          <w:color w:val="auto"/>
          <w:sz w:val="24"/>
        </w:rPr>
        <w:t>物资</w:t>
      </w:r>
      <w:r>
        <w:rPr>
          <w:rFonts w:cs="宋体" w:asciiTheme="minorEastAsia" w:hAnsiTheme="minorEastAsia" w:eastAsiaTheme="minorEastAsia"/>
          <w:color w:val="auto"/>
          <w:sz w:val="24"/>
        </w:rPr>
        <w:t>采购</w:t>
      </w:r>
      <w:r>
        <w:rPr>
          <w:rFonts w:hint="eastAsia" w:cs="宋体" w:asciiTheme="minorEastAsia" w:hAnsiTheme="minorEastAsia" w:eastAsiaTheme="minorEastAsia"/>
          <w:color w:val="auto"/>
          <w:sz w:val="24"/>
        </w:rPr>
        <w:t>、工</w:t>
      </w:r>
      <w:r>
        <w:rPr>
          <w:rFonts w:cs="宋体" w:asciiTheme="minorEastAsia" w:hAnsiTheme="minorEastAsia" w:eastAsiaTheme="minorEastAsia"/>
          <w:color w:val="auto"/>
          <w:sz w:val="24"/>
        </w:rPr>
        <w:t>程管理</w:t>
      </w:r>
      <w:r>
        <w:rPr>
          <w:rFonts w:hint="eastAsia" w:cs="宋体" w:asciiTheme="minorEastAsia" w:hAnsiTheme="minorEastAsia" w:eastAsiaTheme="minorEastAsia"/>
          <w:color w:val="auto"/>
          <w:sz w:val="24"/>
        </w:rPr>
        <w:t>等</w:t>
      </w:r>
      <w:r>
        <w:rPr>
          <w:rFonts w:cs="宋体" w:asciiTheme="minorEastAsia" w:hAnsiTheme="minorEastAsia" w:eastAsiaTheme="minorEastAsia"/>
          <w:color w:val="auto"/>
          <w:sz w:val="24"/>
        </w:rPr>
        <w:t>工作</w:t>
      </w:r>
      <w:r>
        <w:rPr>
          <w:rFonts w:hint="eastAsia" w:cs="宋体" w:asciiTheme="minorEastAsia" w:hAnsiTheme="minorEastAsia" w:eastAsiaTheme="minorEastAsia"/>
          <w:color w:val="auto"/>
          <w:sz w:val="24"/>
        </w:rPr>
        <w:t>，确</w:t>
      </w:r>
      <w:r>
        <w:rPr>
          <w:rFonts w:cs="宋体" w:asciiTheme="minorEastAsia" w:hAnsiTheme="minorEastAsia" w:eastAsiaTheme="minorEastAsia"/>
          <w:color w:val="auto"/>
          <w:sz w:val="24"/>
        </w:rPr>
        <w:t>保</w:t>
      </w:r>
      <w:r>
        <w:rPr>
          <w:rFonts w:hint="eastAsia" w:cs="宋体" w:asciiTheme="minorEastAsia" w:hAnsiTheme="minorEastAsia" w:eastAsiaTheme="minorEastAsia"/>
          <w:color w:val="auto"/>
          <w:sz w:val="24"/>
        </w:rPr>
        <w:t>相互</w:t>
      </w:r>
      <w:r>
        <w:rPr>
          <w:rFonts w:cs="宋体" w:asciiTheme="minorEastAsia" w:hAnsiTheme="minorEastAsia" w:eastAsiaTheme="minorEastAsia"/>
          <w:color w:val="auto"/>
          <w:sz w:val="24"/>
        </w:rPr>
        <w:t>监督</w:t>
      </w: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规范</w:t>
      </w:r>
      <w:r>
        <w:rPr>
          <w:rFonts w:hint="eastAsia" w:cs="宋体" w:asciiTheme="minorEastAsia" w:hAnsiTheme="minorEastAsia" w:eastAsiaTheme="minorEastAsia"/>
          <w:color w:val="auto"/>
          <w:sz w:val="24"/>
        </w:rPr>
        <w:t>廉洁。</w:t>
      </w:r>
    </w:p>
    <w:p>
      <w:pPr>
        <w:autoSpaceDE w:val="0"/>
        <w:autoSpaceDN w:val="0"/>
        <w:adjustRightInd w:val="0"/>
        <w:spacing w:line="360" w:lineRule="auto"/>
        <w:ind w:firstLine="480" w:firstLineChars="200"/>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2017</w:t>
      </w:r>
      <w:r>
        <w:rPr>
          <w:rFonts w:hint="eastAsia" w:cs="宋体" w:asciiTheme="minorEastAsia" w:hAnsiTheme="minorEastAsia" w:eastAsiaTheme="minorEastAsia"/>
          <w:color w:val="auto"/>
          <w:sz w:val="24"/>
        </w:rPr>
        <w:t>年，在</w:t>
      </w:r>
      <w:r>
        <w:rPr>
          <w:rFonts w:cs="宋体" w:asciiTheme="minorEastAsia" w:hAnsiTheme="minorEastAsia" w:eastAsiaTheme="minorEastAsia"/>
          <w:color w:val="auto"/>
          <w:sz w:val="24"/>
        </w:rPr>
        <w:t>改善办学条件上得到了</w:t>
      </w:r>
      <w:r>
        <w:rPr>
          <w:rFonts w:hint="eastAsia" w:cs="宋体" w:asciiTheme="minorEastAsia" w:hAnsiTheme="minorEastAsia" w:eastAsiaTheme="minorEastAsia"/>
          <w:color w:val="auto"/>
          <w:sz w:val="24"/>
        </w:rPr>
        <w:t>极</w:t>
      </w:r>
      <w:r>
        <w:rPr>
          <w:rFonts w:cs="宋体" w:asciiTheme="minorEastAsia" w:hAnsiTheme="minorEastAsia" w:eastAsiaTheme="minorEastAsia"/>
          <w:color w:val="auto"/>
          <w:sz w:val="24"/>
        </w:rPr>
        <w:t>大</w:t>
      </w:r>
      <w:r>
        <w:rPr>
          <w:rFonts w:hint="eastAsia" w:cs="宋体" w:asciiTheme="minorEastAsia" w:hAnsiTheme="minorEastAsia" w:eastAsiaTheme="minorEastAsia"/>
          <w:color w:val="auto"/>
          <w:sz w:val="24"/>
        </w:rPr>
        <w:t>提</w:t>
      </w:r>
      <w:r>
        <w:rPr>
          <w:rFonts w:cs="宋体" w:asciiTheme="minorEastAsia" w:hAnsiTheme="minorEastAsia" w:eastAsiaTheme="minorEastAsia"/>
          <w:color w:val="auto"/>
          <w:sz w:val="24"/>
        </w:rPr>
        <w:t>升</w:t>
      </w:r>
      <w:r>
        <w:rPr>
          <w:rFonts w:hint="eastAsia" w:cs="宋体" w:asciiTheme="minorEastAsia" w:hAnsiTheme="minorEastAsia" w:eastAsiaTheme="minorEastAsia"/>
          <w:color w:val="auto"/>
          <w:sz w:val="24"/>
        </w:rPr>
        <w:t>： 5号</w:t>
      </w:r>
      <w:r>
        <w:rPr>
          <w:rFonts w:cs="宋体" w:asciiTheme="minorEastAsia" w:hAnsiTheme="minorEastAsia" w:eastAsiaTheme="minorEastAsia"/>
          <w:color w:val="auto"/>
          <w:sz w:val="24"/>
        </w:rPr>
        <w:t>学生宿舍</w:t>
      </w:r>
      <w:r>
        <w:rPr>
          <w:rFonts w:hint="eastAsia" w:cs="宋体" w:asciiTheme="minorEastAsia" w:hAnsiTheme="minorEastAsia" w:eastAsiaTheme="minorEastAsia"/>
          <w:color w:val="auto"/>
          <w:sz w:val="24"/>
        </w:rPr>
        <w:t>楼</w:t>
      </w:r>
      <w:r>
        <w:rPr>
          <w:rFonts w:cs="宋体" w:asciiTheme="minorEastAsia" w:hAnsiTheme="minorEastAsia" w:eastAsiaTheme="minorEastAsia"/>
          <w:color w:val="auto"/>
          <w:sz w:val="24"/>
        </w:rPr>
        <w:t>建设完成并投入使用；</w:t>
      </w:r>
      <w:r>
        <w:rPr>
          <w:rFonts w:hint="eastAsia" w:cs="宋体" w:asciiTheme="minorEastAsia" w:hAnsiTheme="minorEastAsia" w:eastAsiaTheme="minorEastAsia"/>
          <w:color w:val="auto"/>
          <w:sz w:val="24"/>
        </w:rPr>
        <w:t>为缓解停车压力和引导有序停车建设完成了车位引导系统；实验楼改造；实验楼四楼卫生间改造等，先后</w:t>
      </w:r>
      <w:r>
        <w:rPr>
          <w:rFonts w:cs="宋体" w:asciiTheme="minorEastAsia" w:hAnsiTheme="minorEastAsia" w:eastAsiaTheme="minorEastAsia"/>
          <w:color w:val="auto"/>
          <w:sz w:val="24"/>
        </w:rPr>
        <w:t>投入</w:t>
      </w:r>
      <w:r>
        <w:rPr>
          <w:rFonts w:hint="eastAsia" w:cs="宋体" w:asciiTheme="minorEastAsia" w:hAnsiTheme="minorEastAsia" w:eastAsiaTheme="minorEastAsia"/>
          <w:color w:val="auto"/>
          <w:sz w:val="24"/>
        </w:rPr>
        <w:t>资金</w:t>
      </w:r>
      <w:r>
        <w:rPr>
          <w:rFonts w:cs="宋体" w:asciiTheme="minorEastAsia" w:hAnsiTheme="minorEastAsia" w:eastAsiaTheme="minorEastAsia"/>
          <w:color w:val="auto"/>
          <w:sz w:val="24"/>
        </w:rPr>
        <w:t>1107</w:t>
      </w:r>
      <w:r>
        <w:rPr>
          <w:rFonts w:hint="eastAsia" w:cs="宋体" w:asciiTheme="minorEastAsia" w:hAnsiTheme="minorEastAsia" w:eastAsiaTheme="minorEastAsia"/>
          <w:color w:val="auto"/>
          <w:sz w:val="24"/>
        </w:rPr>
        <w:t>万元。</w:t>
      </w:r>
    </w:p>
    <w:p>
      <w:pPr>
        <w:pStyle w:val="3"/>
        <w:keepNext w:val="0"/>
        <w:keepLines w:val="0"/>
        <w:adjustRightInd w:val="0"/>
        <w:snapToGrid w:val="0"/>
        <w:spacing w:line="360" w:lineRule="auto"/>
        <w:ind w:firstLine="482" w:firstLineChars="200"/>
        <w:rPr>
          <w:rFonts w:ascii="黑体" w:hAnsi="黑体"/>
          <w:color w:val="auto"/>
          <w:sz w:val="24"/>
        </w:rPr>
      </w:pPr>
      <w:bookmarkStart w:id="43" w:name="_Toc471905928"/>
      <w:r>
        <w:rPr>
          <w:rFonts w:hint="eastAsia" w:ascii="黑体" w:hAnsi="黑体"/>
          <w:color w:val="auto"/>
          <w:sz w:val="24"/>
        </w:rPr>
        <w:t>3.4.5安全管理</w:t>
      </w:r>
      <w:bookmarkEnd w:id="43"/>
    </w:p>
    <w:p>
      <w:pPr>
        <w:autoSpaceDE w:val="0"/>
        <w:autoSpaceDN w:val="0"/>
        <w:adjustRightInd w:val="0"/>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学校始终将安全放在首位，强化师生安全意识，树立安全第一的理念。学校设置有保卫处（综治室）、学工处、团委、学生会等安全管理机构，建立一支由校长统领，分管校长、保卫处长、学工处长、教务处长、班主任、任课老师、心理咨询师、医务室工作人员、保安、生活指导老师、生活管理员等全方位、多层次组成的安全管理队伍，积极推行全员育人模式。强化人防、物防、技防和制度防，严格执行访客登记制度，积极开展安全宣教，经常开展隐患排查，定期组织应急演练，充分保障安全投入、主动争取多方支持、有效组织安全培训，努力提升安全管理的能力和水平，有效保障校园安全。</w:t>
      </w:r>
    </w:p>
    <w:p>
      <w:pPr>
        <w:autoSpaceDE w:val="0"/>
        <w:autoSpaceDN w:val="0"/>
        <w:adjustRightInd w:val="0"/>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学校以省级文明单位的争创为目标，牢固树立“以人为本、安全发展、科学发展”理念，以安全宣传教育常态化、隐患排查治理常规化，着力推进“平安校园”建设，确保学校安全工作规范化、制度化、科学化。一年来学校无安全事故，继续保持嘉兴市文明单位、海宁市“平安校园”5A级等称号。</w:t>
      </w:r>
    </w:p>
    <w:p>
      <w:pPr>
        <w:autoSpaceDE w:val="0"/>
        <w:autoSpaceDN w:val="0"/>
        <w:adjustRightInd w:val="0"/>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2017年度，学校继续加大安全设施上的投入，新建5号宿舍楼严格按照要求配备消防系统，完善了微型消防站、更新访客系统，增添、调换了部分水带、灭火器、应急灯、指示标志等消防设施设备，防冲撞石墩严格按“Z”字型摆放，传达室临街安装了防暴窗，校内安装了“四声报警器”并接入学校广播系统，增加、调整、完善室内外高清监控探头，随时更新安保十件套装备，进一步提升了硬件装备水平，同时也多次对保安进行安全培训，全校师生开展安全应急演练，提升安全软件水准。在上级各部门的正确领导下，我校认真做好安保工作，顺利完成全国文明城市评审、“护航十九大，共建平安城”及第四届世界互联网大会（乌镇峰会）安保工作，得到了上级部门的肯定和高度评价。</w:t>
      </w:r>
    </w:p>
    <w:p>
      <w:pPr>
        <w:adjustRightInd w:val="0"/>
        <w:snapToGrid w:val="0"/>
        <w:spacing w:line="360" w:lineRule="auto"/>
        <w:ind w:firstLine="482" w:firstLineChars="200"/>
        <w:outlineLvl w:val="1"/>
        <w:rPr>
          <w:rFonts w:ascii="黑体" w:hAnsi="黑体" w:eastAsia="黑体"/>
          <w:b/>
          <w:color w:val="auto"/>
          <w:sz w:val="24"/>
        </w:rPr>
      </w:pPr>
      <w:bookmarkStart w:id="44" w:name="_Toc471905929"/>
      <w:r>
        <w:rPr>
          <w:rFonts w:hint="eastAsia" w:ascii="黑体" w:hAnsi="黑体" w:eastAsia="黑体"/>
          <w:b/>
          <w:color w:val="auto"/>
          <w:sz w:val="24"/>
        </w:rPr>
        <w:t>3.4.6科研管理</w:t>
      </w:r>
      <w:bookmarkEnd w:id="44"/>
    </w:p>
    <w:p>
      <w:pPr>
        <w:autoSpaceDE w:val="0"/>
        <w:autoSpaceDN w:val="0"/>
        <w:adjustRightInd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学校非常重视教科研工作，牢固树立“以研促教，科研兴校”意识，通过建立教研、科研的规章制度和激励措施，鼓励教师积极参加教科研工作，实行教科研管理工作规范化。</w:t>
      </w:r>
    </w:p>
    <w:p>
      <w:pPr>
        <w:autoSpaceDE w:val="0"/>
        <w:autoSpaceDN w:val="0"/>
        <w:adjustRightInd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完善《教育科研工作管理办法》，优化教科研奖励机制，将教师教科研完成情况作为教职工年度考核、评优、晋升的重要参考，营造“人人搞教研、事事有研究”，“教中研、边教边研”的良好教科研氛围。认真制定年度教科研计划，编制校、专业组、个人三个不同层级的课题网，初步建立“自诊-互诊-领诊”三诊合参的学校特色科研模式。</w:t>
      </w:r>
    </w:p>
    <w:p>
      <w:pPr>
        <w:autoSpaceDE w:val="0"/>
        <w:autoSpaceDN w:val="0"/>
        <w:adjustRightInd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教师勤于钻研和总结自己的教学研究和体会，有不少教师的论文在国家核心学术期刊上发表，一些教师的论文获各级教育部门的大奖。教科研成果丰硕，今年共立项市级及以上课题19项，共有14项课题结题，2项获嘉兴市第十届教育科学研究优秀成果，10项获海宁市第七届教育科学优秀研究成果。提高了我校的教学质量和办学品位，增加了学校的知名度。</w:t>
      </w:r>
    </w:p>
    <w:p>
      <w:pPr>
        <w:spacing w:line="360" w:lineRule="auto"/>
        <w:ind w:firstLine="241" w:firstLineChars="100"/>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表9：2017年度学校教师教学科研情况汇总表</w:t>
      </w:r>
    </w:p>
    <w:tbl>
      <w:tblPr>
        <w:tblStyle w:val="14"/>
        <w:tblW w:w="9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28"/>
        <w:gridCol w:w="937"/>
        <w:gridCol w:w="938"/>
        <w:gridCol w:w="930"/>
        <w:gridCol w:w="7"/>
        <w:gridCol w:w="938"/>
        <w:gridCol w:w="937"/>
        <w:gridCol w:w="873"/>
        <w:gridCol w:w="100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784" w:type="dxa"/>
            <w:gridSpan w:val="2"/>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发表论文</w:t>
            </w:r>
          </w:p>
        </w:tc>
        <w:tc>
          <w:tcPr>
            <w:tcW w:w="2805" w:type="dxa"/>
            <w:gridSpan w:val="3"/>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获奖论文</w:t>
            </w:r>
          </w:p>
        </w:tc>
        <w:tc>
          <w:tcPr>
            <w:tcW w:w="2755" w:type="dxa"/>
            <w:gridSpan w:val="4"/>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教学奖</w:t>
            </w:r>
          </w:p>
        </w:tc>
        <w:tc>
          <w:tcPr>
            <w:tcW w:w="2064" w:type="dxa"/>
            <w:gridSpan w:val="2"/>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6" w:type="dxa"/>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核心刊物</w:t>
            </w:r>
          </w:p>
        </w:tc>
        <w:tc>
          <w:tcPr>
            <w:tcW w:w="928" w:type="dxa"/>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一般刊物</w:t>
            </w:r>
          </w:p>
        </w:tc>
        <w:tc>
          <w:tcPr>
            <w:tcW w:w="937" w:type="dxa"/>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国家级</w:t>
            </w:r>
          </w:p>
        </w:tc>
        <w:tc>
          <w:tcPr>
            <w:tcW w:w="938" w:type="dxa"/>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市级</w:t>
            </w:r>
          </w:p>
        </w:tc>
        <w:tc>
          <w:tcPr>
            <w:tcW w:w="937" w:type="dxa"/>
            <w:gridSpan w:val="2"/>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县级</w:t>
            </w:r>
          </w:p>
        </w:tc>
        <w:tc>
          <w:tcPr>
            <w:tcW w:w="938" w:type="dxa"/>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国家级</w:t>
            </w:r>
          </w:p>
        </w:tc>
        <w:tc>
          <w:tcPr>
            <w:tcW w:w="937" w:type="dxa"/>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省级</w:t>
            </w:r>
          </w:p>
        </w:tc>
        <w:tc>
          <w:tcPr>
            <w:tcW w:w="873" w:type="dxa"/>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市级</w:t>
            </w:r>
          </w:p>
        </w:tc>
        <w:tc>
          <w:tcPr>
            <w:tcW w:w="1002" w:type="dxa"/>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省级</w:t>
            </w:r>
          </w:p>
        </w:tc>
        <w:tc>
          <w:tcPr>
            <w:tcW w:w="1062" w:type="dxa"/>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56" w:type="dxa"/>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9篇</w:t>
            </w:r>
          </w:p>
        </w:tc>
        <w:tc>
          <w:tcPr>
            <w:tcW w:w="928" w:type="dxa"/>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8篇</w:t>
            </w:r>
          </w:p>
        </w:tc>
        <w:tc>
          <w:tcPr>
            <w:tcW w:w="937" w:type="dxa"/>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5篇</w:t>
            </w:r>
          </w:p>
        </w:tc>
        <w:tc>
          <w:tcPr>
            <w:tcW w:w="938" w:type="dxa"/>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18篇</w:t>
            </w:r>
          </w:p>
        </w:tc>
        <w:tc>
          <w:tcPr>
            <w:tcW w:w="937" w:type="dxa"/>
            <w:gridSpan w:val="2"/>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18篇</w:t>
            </w:r>
          </w:p>
        </w:tc>
        <w:tc>
          <w:tcPr>
            <w:tcW w:w="938" w:type="dxa"/>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6人</w:t>
            </w:r>
          </w:p>
        </w:tc>
        <w:tc>
          <w:tcPr>
            <w:tcW w:w="937" w:type="dxa"/>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6人</w:t>
            </w:r>
          </w:p>
        </w:tc>
        <w:tc>
          <w:tcPr>
            <w:tcW w:w="873" w:type="dxa"/>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47人</w:t>
            </w:r>
          </w:p>
        </w:tc>
        <w:tc>
          <w:tcPr>
            <w:tcW w:w="1002" w:type="dxa"/>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3个</w:t>
            </w:r>
          </w:p>
        </w:tc>
        <w:tc>
          <w:tcPr>
            <w:tcW w:w="1062" w:type="dxa"/>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16个</w:t>
            </w:r>
          </w:p>
        </w:tc>
      </w:tr>
    </w:tbl>
    <w:p>
      <w:pPr>
        <w:pStyle w:val="3"/>
        <w:keepNext w:val="0"/>
        <w:keepLines w:val="0"/>
        <w:adjustRightInd w:val="0"/>
        <w:snapToGrid w:val="0"/>
        <w:spacing w:line="360" w:lineRule="auto"/>
        <w:ind w:firstLine="482" w:firstLineChars="200"/>
        <w:rPr>
          <w:rFonts w:hint="eastAsia" w:ascii="黑体" w:hAnsi="黑体"/>
          <w:color w:val="auto"/>
          <w:sz w:val="24"/>
          <w:lang w:val="en-US" w:eastAsia="zh-CN"/>
        </w:rPr>
      </w:pPr>
      <w:bookmarkStart w:id="45" w:name="_Toc471905930"/>
      <w:r>
        <w:rPr>
          <w:rFonts w:hint="eastAsia" w:ascii="黑体" w:hAnsi="黑体"/>
          <w:color w:val="auto"/>
          <w:sz w:val="24"/>
          <w:lang w:val="en-US" w:eastAsia="zh-CN"/>
        </w:rPr>
        <w:t>3.4.7管理队伍建设</w:t>
      </w:r>
      <w:bookmarkEnd w:id="45"/>
    </w:p>
    <w:p>
      <w:pPr>
        <w:adjustRightInd w:val="0"/>
        <w:snapToGrid w:val="0"/>
        <w:spacing w:line="360" w:lineRule="auto"/>
        <w:ind w:firstLine="360" w:firstLineChars="150"/>
        <w:rPr>
          <w:rFonts w:hint="eastAsia" w:cs="宋体" w:asciiTheme="minorEastAsia" w:hAnsiTheme="minorEastAsia" w:eastAsiaTheme="minorEastAsia"/>
          <w:b w:val="0"/>
          <w:color w:val="auto"/>
          <w:kern w:val="2"/>
          <w:sz w:val="24"/>
          <w:szCs w:val="24"/>
          <w:lang w:val="en-US" w:eastAsia="zh-CN" w:bidi="ar-SA"/>
        </w:rPr>
      </w:pPr>
      <w:r>
        <w:rPr>
          <w:rFonts w:hint="eastAsia" w:cs="宋体" w:asciiTheme="minorEastAsia" w:hAnsiTheme="minorEastAsia" w:eastAsiaTheme="minorEastAsia"/>
          <w:b w:val="0"/>
          <w:color w:val="auto"/>
          <w:kern w:val="2"/>
          <w:sz w:val="24"/>
          <w:szCs w:val="24"/>
          <w:lang w:val="en-US" w:eastAsia="zh-CN" w:bidi="ar-SA"/>
        </w:rPr>
        <w:t>学校有行政工作和教学业务两条管理线，不断完善组织保障体系及运行机制，加强党、青、工、妇、学等组织建设，健全学校组织机构。行政工作线设有校长办公室、教务、学工、招生、就业、实习实训、督导、总务、计财、人事、教师发展、保卫、成教等职能处室，教学业务线设有教务处、专业大组、教研组等教学业务管理层级，职责明确、分工协作。</w:t>
      </w:r>
    </w:p>
    <w:p>
      <w:pPr>
        <w:adjustRightInd w:val="0"/>
        <w:snapToGrid w:val="0"/>
        <w:spacing w:line="360" w:lineRule="auto"/>
        <w:ind w:firstLine="547" w:firstLineChars="228"/>
        <w:rPr>
          <w:rFonts w:hint="eastAsia" w:cs="宋体" w:asciiTheme="minorEastAsia" w:hAnsiTheme="minorEastAsia" w:eastAsiaTheme="minorEastAsia"/>
          <w:b w:val="0"/>
          <w:color w:val="auto"/>
          <w:kern w:val="2"/>
          <w:sz w:val="24"/>
          <w:szCs w:val="24"/>
          <w:lang w:val="en-US" w:eastAsia="zh-CN" w:bidi="ar-SA"/>
        </w:rPr>
      </w:pPr>
      <w:r>
        <w:rPr>
          <w:rFonts w:hint="eastAsia" w:cs="宋体" w:asciiTheme="minorEastAsia" w:hAnsiTheme="minorEastAsia" w:eastAsiaTheme="minorEastAsia"/>
          <w:b w:val="0"/>
          <w:color w:val="auto"/>
          <w:kern w:val="2"/>
          <w:sz w:val="24"/>
          <w:szCs w:val="24"/>
          <w:lang w:val="en-US" w:eastAsia="zh-CN" w:bidi="ar-SA"/>
        </w:rPr>
        <w:t>强化学校管理职责，积极探索推行精细化管理，实施全员管理、分级管理，项目管理及目标管理，不断提升管理服务能力。深化人事制度改革，加强中层干部队伍建设，培养任用年轻干部，不断提升工作人员的服务意识和服务水平。校领导班子5人，平均年龄47周岁，均具有本科学历，高级职称；中层干部（含专业主任）25人，其中本科以上学历23人，具有中、高级职称23人。</w:t>
      </w:r>
      <w:bookmarkStart w:id="46" w:name="_Toc471905931"/>
    </w:p>
    <w:p>
      <w:pPr>
        <w:pStyle w:val="3"/>
        <w:keepNext w:val="0"/>
        <w:keepLines w:val="0"/>
        <w:adjustRightInd w:val="0"/>
        <w:snapToGrid w:val="0"/>
        <w:spacing w:line="360" w:lineRule="auto"/>
        <w:ind w:firstLine="482" w:firstLineChars="200"/>
        <w:rPr>
          <w:rFonts w:ascii="黑体" w:hAnsi="黑体"/>
          <w:color w:val="auto"/>
          <w:sz w:val="24"/>
        </w:rPr>
      </w:pPr>
      <w:r>
        <w:rPr>
          <w:rFonts w:hint="eastAsia" w:ascii="黑体" w:hAnsi="黑体"/>
          <w:color w:val="auto"/>
          <w:sz w:val="24"/>
        </w:rPr>
        <w:t>3.4.8管理信息化水平</w:t>
      </w:r>
      <w:bookmarkEnd w:id="46"/>
    </w:p>
    <w:p>
      <w:pPr>
        <w:widowControl/>
        <w:snapToGrid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学校建有海宁卫生学校官网（www.zjhnwx.com）和学校智慧校园管理平台，智慧校园管理平台包含教务管理、学工管理、实习管理、OA办公、教学资源库、在线考试等13个管理系统模块，较好满足了学校日常信息化管理需求。根据职教信息化发展的新形势和新要求，通过技术引进，自主开发等方法，建成包括专业技能微视频、微课、教学视频、教学素材、试题库、多媒体课件、电子教案等多种形式的信息化教学资源库约1TB，建设护理专业虚拟在线学习平台1个，实现教师信息化教学资源的共享和学生在线学习，有效拓展学习的时间和空间，提升了学习的效率。</w:t>
      </w:r>
    </w:p>
    <w:bookmarkEnd w:id="26"/>
    <w:p>
      <w:pPr>
        <w:pStyle w:val="3"/>
        <w:keepNext w:val="0"/>
        <w:keepLines w:val="0"/>
        <w:adjustRightInd w:val="0"/>
        <w:snapToGrid w:val="0"/>
        <w:spacing w:line="360" w:lineRule="auto"/>
        <w:ind w:firstLine="280" w:firstLineChars="100"/>
        <w:rPr>
          <w:b w:val="0"/>
          <w:color w:val="auto"/>
          <w:sz w:val="28"/>
          <w:szCs w:val="28"/>
          <w:highlight w:val="none"/>
        </w:rPr>
      </w:pPr>
      <w:bookmarkStart w:id="47" w:name="_Toc471905932"/>
      <w:bookmarkStart w:id="48" w:name="_Toc471905940"/>
      <w:r>
        <w:rPr>
          <w:rFonts w:hint="eastAsia"/>
          <w:b w:val="0"/>
          <w:color w:val="auto"/>
          <w:sz w:val="28"/>
          <w:szCs w:val="28"/>
          <w:highlight w:val="none"/>
        </w:rPr>
        <w:t>3.5德育工作</w:t>
      </w:r>
      <w:bookmarkEnd w:id="47"/>
    </w:p>
    <w:p>
      <w:pPr>
        <w:pStyle w:val="3"/>
        <w:keepNext w:val="0"/>
        <w:keepLines w:val="0"/>
        <w:adjustRightInd w:val="0"/>
        <w:snapToGrid w:val="0"/>
        <w:spacing w:line="360" w:lineRule="auto"/>
        <w:ind w:firstLine="482" w:firstLineChars="200"/>
        <w:rPr>
          <w:rFonts w:ascii="黑体" w:hAnsi="黑体"/>
          <w:color w:val="auto"/>
          <w:sz w:val="24"/>
          <w:highlight w:val="none"/>
        </w:rPr>
      </w:pPr>
      <w:bookmarkStart w:id="49" w:name="_Toc471905933"/>
      <w:r>
        <w:rPr>
          <w:rFonts w:hint="eastAsia" w:ascii="黑体" w:hAnsi="黑体"/>
          <w:color w:val="auto"/>
          <w:sz w:val="24"/>
          <w:highlight w:val="none"/>
        </w:rPr>
        <w:t>3.5.1德育课实施情况</w:t>
      </w:r>
      <w:bookmarkEnd w:id="49"/>
    </w:p>
    <w:p>
      <w:pPr>
        <w:pStyle w:val="3"/>
        <w:keepNext w:val="0"/>
        <w:keepLines w:val="0"/>
        <w:adjustRightInd w:val="0"/>
        <w:snapToGrid w:val="0"/>
        <w:spacing w:line="360" w:lineRule="auto"/>
        <w:ind w:firstLine="480" w:firstLineChars="200"/>
        <w:rPr>
          <w:rFonts w:asciiTheme="minorEastAsia" w:hAnsiTheme="minorEastAsia" w:eastAsiaTheme="minorEastAsia"/>
          <w:b w:val="0"/>
          <w:color w:val="auto"/>
          <w:sz w:val="24"/>
          <w:highlight w:val="none"/>
        </w:rPr>
      </w:pPr>
      <w:bookmarkStart w:id="50" w:name="_Toc471905457"/>
      <w:bookmarkStart w:id="51" w:name="_Toc471905934"/>
      <w:r>
        <w:rPr>
          <w:rFonts w:hint="eastAsia" w:cs="宋体" w:asciiTheme="minorEastAsia" w:hAnsiTheme="minorEastAsia" w:eastAsiaTheme="minorEastAsia"/>
          <w:b w:val="0"/>
          <w:color w:val="auto"/>
          <w:sz w:val="24"/>
          <w:highlight w:val="none"/>
        </w:rPr>
        <w:t>学校严格按照教育部门中职学校德育课开设要求，规范开设了职业生涯规划、思想道德与法律基础、哲学与人生 、社会政治与经济等德育课程，分四学期开设，每周2课时，每学期36课时，共计8学分。在规范开设的同时，加强德育课程在学生综合素养培养中的实践研究，将德育课程与学校专业教学、学生综合素养培养的等教育教学活动紧密结合，取得实效。201</w:t>
      </w:r>
      <w:r>
        <w:rPr>
          <w:rFonts w:hint="eastAsia" w:cs="宋体" w:asciiTheme="minorEastAsia" w:hAnsiTheme="minorEastAsia" w:eastAsiaTheme="minorEastAsia"/>
          <w:b w:val="0"/>
          <w:color w:val="auto"/>
          <w:sz w:val="24"/>
          <w:highlight w:val="none"/>
          <w:lang w:val="en-US" w:eastAsia="zh-CN"/>
        </w:rPr>
        <w:t>7</w:t>
      </w:r>
      <w:r>
        <w:rPr>
          <w:rFonts w:hint="eastAsia" w:cs="宋体" w:asciiTheme="minorEastAsia" w:hAnsiTheme="minorEastAsia" w:eastAsiaTheme="minorEastAsia"/>
          <w:b w:val="0"/>
          <w:color w:val="auto"/>
          <w:sz w:val="24"/>
          <w:highlight w:val="none"/>
        </w:rPr>
        <w:t>年，我校学生参加《思想道德与法律基础》自考课程考试，合格率达到</w:t>
      </w:r>
      <w:r>
        <w:rPr>
          <w:rFonts w:hint="eastAsia" w:cs="宋体" w:asciiTheme="minorEastAsia" w:hAnsiTheme="minorEastAsia" w:eastAsiaTheme="minorEastAsia"/>
          <w:b w:val="0"/>
          <w:color w:val="auto"/>
          <w:sz w:val="24"/>
          <w:highlight w:val="none"/>
          <w:lang w:val="en-US" w:eastAsia="zh-CN"/>
        </w:rPr>
        <w:t>84.01</w:t>
      </w:r>
      <w:r>
        <w:rPr>
          <w:rFonts w:hint="eastAsia" w:cs="宋体" w:asciiTheme="minorEastAsia" w:hAnsiTheme="minorEastAsia" w:eastAsiaTheme="minorEastAsia"/>
          <w:b w:val="0"/>
          <w:color w:val="auto"/>
          <w:sz w:val="24"/>
          <w:highlight w:val="none"/>
        </w:rPr>
        <w:t>%。</w:t>
      </w:r>
      <w:bookmarkEnd w:id="50"/>
      <w:bookmarkEnd w:id="51"/>
    </w:p>
    <w:p>
      <w:pPr>
        <w:pStyle w:val="3"/>
        <w:keepNext w:val="0"/>
        <w:keepLines w:val="0"/>
        <w:adjustRightInd w:val="0"/>
        <w:snapToGrid w:val="0"/>
        <w:spacing w:line="360" w:lineRule="auto"/>
        <w:ind w:firstLine="482" w:firstLineChars="200"/>
        <w:rPr>
          <w:rFonts w:ascii="黑体" w:hAnsi="黑体"/>
          <w:color w:val="auto"/>
          <w:sz w:val="24"/>
          <w:highlight w:val="none"/>
        </w:rPr>
      </w:pPr>
      <w:bookmarkStart w:id="52" w:name="_Toc471905935"/>
      <w:r>
        <w:rPr>
          <w:rFonts w:hint="eastAsia" w:ascii="黑体" w:hAnsi="黑体"/>
          <w:color w:val="auto"/>
          <w:sz w:val="24"/>
          <w:highlight w:val="none"/>
        </w:rPr>
        <w:t>3.5.2校园文化建设</w:t>
      </w:r>
      <w:bookmarkEnd w:id="52"/>
    </w:p>
    <w:p>
      <w:pPr>
        <w:spacing w:line="360" w:lineRule="auto"/>
        <w:ind w:firstLine="480" w:firstLineChars="200"/>
        <w:rPr>
          <w:rFonts w:asciiTheme="minorEastAsia" w:hAnsiTheme="minorEastAsia" w:eastAsiaTheme="minorEastAsia"/>
          <w:color w:val="auto"/>
          <w:sz w:val="24"/>
          <w:szCs w:val="22"/>
          <w:highlight w:val="none"/>
        </w:rPr>
      </w:pPr>
      <w:bookmarkStart w:id="53" w:name="OLE_LINK13"/>
      <w:r>
        <w:rPr>
          <w:rFonts w:hint="eastAsia" w:asciiTheme="minorEastAsia" w:hAnsiTheme="minorEastAsia" w:eastAsiaTheme="minorEastAsia"/>
          <w:color w:val="auto"/>
          <w:sz w:val="24"/>
          <w:szCs w:val="22"/>
          <w:highlight w:val="none"/>
        </w:rPr>
        <w:t>学校始终秉承“勤学</w:t>
      </w:r>
      <w:r>
        <w:rPr>
          <w:rFonts w:asciiTheme="minorEastAsia" w:hAnsiTheme="minorEastAsia" w:eastAsiaTheme="minorEastAsia"/>
          <w:color w:val="auto"/>
          <w:sz w:val="24"/>
          <w:szCs w:val="22"/>
          <w:highlight w:val="none"/>
        </w:rPr>
        <w:t>、厚</w:t>
      </w:r>
      <w:r>
        <w:rPr>
          <w:rFonts w:hint="eastAsia" w:asciiTheme="minorEastAsia" w:hAnsiTheme="minorEastAsia" w:eastAsiaTheme="minorEastAsia"/>
          <w:color w:val="auto"/>
          <w:sz w:val="24"/>
          <w:szCs w:val="22"/>
          <w:highlight w:val="none"/>
        </w:rPr>
        <w:t>德</w:t>
      </w:r>
      <w:r>
        <w:rPr>
          <w:rFonts w:asciiTheme="minorEastAsia" w:hAnsiTheme="minorEastAsia" w:eastAsiaTheme="minorEastAsia"/>
          <w:color w:val="auto"/>
          <w:sz w:val="24"/>
          <w:szCs w:val="22"/>
          <w:highlight w:val="none"/>
        </w:rPr>
        <w:t>、</w:t>
      </w:r>
      <w:r>
        <w:rPr>
          <w:rFonts w:hint="eastAsia" w:asciiTheme="minorEastAsia" w:hAnsiTheme="minorEastAsia" w:eastAsiaTheme="minorEastAsia"/>
          <w:color w:val="auto"/>
          <w:sz w:val="24"/>
          <w:szCs w:val="22"/>
          <w:highlight w:val="none"/>
        </w:rPr>
        <w:t>守纪</w:t>
      </w:r>
      <w:r>
        <w:rPr>
          <w:rFonts w:asciiTheme="minorEastAsia" w:hAnsiTheme="minorEastAsia" w:eastAsiaTheme="minorEastAsia"/>
          <w:color w:val="auto"/>
          <w:sz w:val="24"/>
          <w:szCs w:val="22"/>
          <w:highlight w:val="none"/>
        </w:rPr>
        <w:t>、文明”</w:t>
      </w:r>
      <w:r>
        <w:rPr>
          <w:rFonts w:hint="eastAsia" w:asciiTheme="minorEastAsia" w:hAnsiTheme="minorEastAsia" w:eastAsiaTheme="minorEastAsia"/>
          <w:color w:val="auto"/>
          <w:sz w:val="24"/>
          <w:szCs w:val="22"/>
          <w:highlight w:val="none"/>
        </w:rPr>
        <w:t>的</w:t>
      </w:r>
      <w:r>
        <w:rPr>
          <w:rFonts w:asciiTheme="minorEastAsia" w:hAnsiTheme="minorEastAsia" w:eastAsiaTheme="minorEastAsia"/>
          <w:color w:val="auto"/>
          <w:sz w:val="24"/>
          <w:szCs w:val="22"/>
          <w:highlight w:val="none"/>
        </w:rPr>
        <w:t>校训，</w:t>
      </w:r>
      <w:r>
        <w:rPr>
          <w:rFonts w:hint="eastAsia" w:asciiTheme="minorEastAsia" w:hAnsiTheme="minorEastAsia" w:eastAsiaTheme="minorEastAsia"/>
          <w:color w:val="auto"/>
          <w:sz w:val="24"/>
          <w:szCs w:val="22"/>
          <w:highlight w:val="none"/>
        </w:rPr>
        <w:t>对接医药</w:t>
      </w:r>
      <w:r>
        <w:rPr>
          <w:rFonts w:asciiTheme="minorEastAsia" w:hAnsiTheme="minorEastAsia" w:eastAsiaTheme="minorEastAsia"/>
          <w:color w:val="auto"/>
          <w:sz w:val="24"/>
          <w:szCs w:val="22"/>
          <w:highlight w:val="none"/>
        </w:rPr>
        <w:t>卫生职业</w:t>
      </w:r>
      <w:r>
        <w:rPr>
          <w:rFonts w:hint="eastAsia" w:asciiTheme="minorEastAsia" w:hAnsiTheme="minorEastAsia" w:eastAsiaTheme="minorEastAsia"/>
          <w:color w:val="auto"/>
          <w:sz w:val="24"/>
          <w:szCs w:val="22"/>
          <w:highlight w:val="none"/>
        </w:rPr>
        <w:t>文化</w:t>
      </w:r>
      <w:r>
        <w:rPr>
          <w:rFonts w:asciiTheme="minorEastAsia" w:hAnsiTheme="minorEastAsia" w:eastAsiaTheme="minorEastAsia"/>
          <w:color w:val="auto"/>
          <w:sz w:val="24"/>
          <w:szCs w:val="22"/>
          <w:highlight w:val="none"/>
        </w:rPr>
        <w:t>，结合中职</w:t>
      </w:r>
      <w:r>
        <w:rPr>
          <w:rFonts w:hint="eastAsia" w:asciiTheme="minorEastAsia" w:hAnsiTheme="minorEastAsia" w:eastAsiaTheme="minorEastAsia"/>
          <w:color w:val="auto"/>
          <w:sz w:val="24"/>
          <w:szCs w:val="22"/>
          <w:highlight w:val="none"/>
        </w:rPr>
        <w:t>卫生</w:t>
      </w:r>
      <w:r>
        <w:rPr>
          <w:rFonts w:asciiTheme="minorEastAsia" w:hAnsiTheme="minorEastAsia" w:eastAsiaTheme="minorEastAsia"/>
          <w:color w:val="auto"/>
          <w:sz w:val="24"/>
          <w:szCs w:val="22"/>
          <w:highlight w:val="none"/>
        </w:rPr>
        <w:t>学校</w:t>
      </w:r>
      <w:r>
        <w:rPr>
          <w:rFonts w:hint="eastAsia" w:asciiTheme="minorEastAsia" w:hAnsiTheme="minorEastAsia" w:eastAsiaTheme="minorEastAsia"/>
          <w:color w:val="auto"/>
          <w:sz w:val="24"/>
          <w:szCs w:val="22"/>
          <w:highlight w:val="none"/>
        </w:rPr>
        <w:t>教育教学</w:t>
      </w:r>
      <w:r>
        <w:rPr>
          <w:rFonts w:asciiTheme="minorEastAsia" w:hAnsiTheme="minorEastAsia" w:eastAsiaTheme="minorEastAsia"/>
          <w:color w:val="auto"/>
          <w:sz w:val="24"/>
          <w:szCs w:val="22"/>
          <w:highlight w:val="none"/>
        </w:rPr>
        <w:t>特</w:t>
      </w:r>
      <w:r>
        <w:rPr>
          <w:rFonts w:hint="eastAsia" w:asciiTheme="minorEastAsia" w:hAnsiTheme="minorEastAsia" w:eastAsiaTheme="minorEastAsia"/>
          <w:color w:val="auto"/>
          <w:sz w:val="24"/>
          <w:szCs w:val="22"/>
          <w:highlight w:val="none"/>
        </w:rPr>
        <w:t>色</w:t>
      </w:r>
      <w:r>
        <w:rPr>
          <w:rFonts w:asciiTheme="minorEastAsia" w:hAnsiTheme="minorEastAsia" w:eastAsiaTheme="minorEastAsia"/>
          <w:color w:val="auto"/>
          <w:sz w:val="24"/>
          <w:szCs w:val="22"/>
          <w:highlight w:val="none"/>
        </w:rPr>
        <w:t>，</w:t>
      </w:r>
      <w:r>
        <w:rPr>
          <w:rFonts w:hint="eastAsia" w:asciiTheme="minorEastAsia" w:hAnsiTheme="minorEastAsia" w:eastAsiaTheme="minorEastAsia"/>
          <w:color w:val="auto"/>
          <w:sz w:val="24"/>
          <w:szCs w:val="22"/>
          <w:highlight w:val="none"/>
        </w:rPr>
        <w:t>凝炼形成了以“奉献、重托、品牌”为基因</w:t>
      </w:r>
      <w:r>
        <w:rPr>
          <w:rFonts w:asciiTheme="minorEastAsia" w:hAnsiTheme="minorEastAsia" w:eastAsiaTheme="minorEastAsia"/>
          <w:color w:val="auto"/>
          <w:sz w:val="24"/>
          <w:szCs w:val="22"/>
          <w:highlight w:val="none"/>
        </w:rPr>
        <w:t>要素</w:t>
      </w:r>
      <w:r>
        <w:rPr>
          <w:rFonts w:hint="eastAsia" w:asciiTheme="minorEastAsia" w:hAnsiTheme="minorEastAsia" w:eastAsiaTheme="minorEastAsia"/>
          <w:color w:val="auto"/>
          <w:sz w:val="24"/>
          <w:szCs w:val="22"/>
          <w:highlight w:val="none"/>
        </w:rPr>
        <w:t>的特色“天使</w:t>
      </w:r>
      <w:r>
        <w:rPr>
          <w:rFonts w:asciiTheme="minorEastAsia" w:hAnsiTheme="minorEastAsia" w:eastAsiaTheme="minorEastAsia"/>
          <w:color w:val="auto"/>
          <w:sz w:val="24"/>
          <w:szCs w:val="22"/>
          <w:highlight w:val="none"/>
        </w:rPr>
        <w:t>文化</w:t>
      </w:r>
      <w:r>
        <w:rPr>
          <w:rFonts w:hint="eastAsia" w:asciiTheme="minorEastAsia" w:hAnsiTheme="minorEastAsia" w:eastAsiaTheme="minorEastAsia"/>
          <w:color w:val="auto"/>
          <w:sz w:val="24"/>
          <w:szCs w:val="22"/>
          <w:highlight w:val="none"/>
        </w:rPr>
        <w:t>”</w:t>
      </w:r>
      <w:r>
        <w:rPr>
          <w:rFonts w:asciiTheme="minorEastAsia" w:hAnsiTheme="minorEastAsia" w:eastAsiaTheme="minorEastAsia"/>
          <w:color w:val="auto"/>
          <w:sz w:val="24"/>
          <w:szCs w:val="22"/>
          <w:highlight w:val="none"/>
        </w:rPr>
        <w:t>，</w:t>
      </w:r>
      <w:r>
        <w:rPr>
          <w:rFonts w:hint="eastAsia" w:asciiTheme="minorEastAsia" w:hAnsiTheme="minorEastAsia" w:eastAsiaTheme="minorEastAsia"/>
          <w:color w:val="auto"/>
          <w:sz w:val="24"/>
          <w:szCs w:val="22"/>
          <w:highlight w:val="none"/>
        </w:rPr>
        <w:t>构建了</w:t>
      </w:r>
      <w:r>
        <w:rPr>
          <w:rFonts w:hint="eastAsia" w:asciiTheme="minorEastAsia" w:hAnsiTheme="minorEastAsia" w:eastAsiaTheme="minorEastAsia"/>
          <w:bCs/>
          <w:color w:val="auto"/>
          <w:sz w:val="24"/>
          <w:szCs w:val="22"/>
          <w:highlight w:val="none"/>
        </w:rPr>
        <w:t>“塑形、育心、铸魂”</w:t>
      </w:r>
      <w:r>
        <w:rPr>
          <w:rFonts w:asciiTheme="minorEastAsia" w:hAnsiTheme="minorEastAsia" w:eastAsiaTheme="minorEastAsia"/>
          <w:color w:val="auto"/>
          <w:sz w:val="24"/>
          <w:szCs w:val="22"/>
          <w:highlight w:val="none"/>
        </w:rPr>
        <w:t>育人</w:t>
      </w:r>
      <w:r>
        <w:rPr>
          <w:rFonts w:hint="eastAsia" w:asciiTheme="minorEastAsia" w:hAnsiTheme="minorEastAsia" w:eastAsiaTheme="minorEastAsia"/>
          <w:color w:val="auto"/>
          <w:sz w:val="24"/>
          <w:szCs w:val="22"/>
          <w:highlight w:val="none"/>
        </w:rPr>
        <w:t>模式，得到省内职教专家的高度认可，201</w:t>
      </w:r>
      <w:r>
        <w:rPr>
          <w:rFonts w:asciiTheme="minorEastAsia" w:hAnsiTheme="minorEastAsia" w:eastAsiaTheme="minorEastAsia"/>
          <w:color w:val="auto"/>
          <w:sz w:val="24"/>
          <w:szCs w:val="22"/>
          <w:highlight w:val="none"/>
        </w:rPr>
        <w:t>7</w:t>
      </w:r>
      <w:r>
        <w:rPr>
          <w:rFonts w:hint="eastAsia" w:asciiTheme="minorEastAsia" w:hAnsiTheme="minorEastAsia" w:eastAsiaTheme="minorEastAsia"/>
          <w:color w:val="auto"/>
          <w:sz w:val="24"/>
          <w:szCs w:val="22"/>
          <w:highlight w:val="none"/>
        </w:rPr>
        <w:t>年学校评为海宁市文明校园，“天使工程”被列为浙江省品牌德育。</w:t>
      </w:r>
    </w:p>
    <w:p>
      <w:pPr>
        <w:widowControl/>
        <w:snapToGrid w:val="0"/>
        <w:spacing w:line="360" w:lineRule="auto"/>
        <w:ind w:firstLine="361" w:firstLineChars="150"/>
        <w:jc w:val="left"/>
        <w:outlineLvl w:val="2"/>
        <w:rPr>
          <w:rFonts w:cs="宋体" w:asciiTheme="minorEastAsia" w:hAnsiTheme="minorEastAsia" w:eastAsiaTheme="minorEastAsia"/>
          <w:b/>
          <w:color w:val="auto"/>
          <w:kern w:val="0"/>
          <w:sz w:val="24"/>
          <w:highlight w:val="none"/>
        </w:rPr>
      </w:pPr>
      <w:bookmarkStart w:id="54" w:name="_Toc471905936"/>
      <w:bookmarkStart w:id="55" w:name="_Toc471905459"/>
      <w:r>
        <w:rPr>
          <w:rFonts w:hint="eastAsia" w:cs="宋体" w:asciiTheme="minorEastAsia" w:hAnsiTheme="minorEastAsia" w:eastAsiaTheme="minorEastAsia"/>
          <w:b/>
          <w:color w:val="auto"/>
          <w:kern w:val="0"/>
          <w:sz w:val="24"/>
          <w:highlight w:val="none"/>
        </w:rPr>
        <w:t>（1）建设“天使文化”载体</w:t>
      </w:r>
      <w:bookmarkEnd w:id="54"/>
      <w:bookmarkEnd w:id="55"/>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构建“天使文化”六大载体，充分发挥文化育人功能。一是整体设计“天使”精神载体，从办学指导思想，到校园文化要素，一训三风，从校歌、宣传片等等，逐一成熟；二是修葺整编，完善“天使”制度载体；三是细处入手，打造“天使”环境载体，开展“天使文化”进三室，建“天使文化”展示区，宣传天使文化建设进展和成效；四是推进课改，开发“天使文化”课程载体，依据专业特色和管理需求，组织编写出版“天使文化”系列校本教材；五是</w:t>
      </w:r>
      <w:r>
        <w:rPr>
          <w:rFonts w:hint="eastAsia" w:asciiTheme="minorEastAsia" w:hAnsiTheme="minorEastAsia" w:eastAsiaTheme="minorEastAsia"/>
          <w:color w:val="auto"/>
          <w:kern w:val="0"/>
          <w:sz w:val="24"/>
          <w:highlight w:val="none"/>
        </w:rPr>
        <w:t>着眼特色，创新“天使”活动载体，</w:t>
      </w:r>
      <w:r>
        <w:rPr>
          <w:rFonts w:hint="eastAsia" w:asciiTheme="minorEastAsia" w:hAnsiTheme="minorEastAsia" w:eastAsiaTheme="minorEastAsia"/>
          <w:color w:val="auto"/>
          <w:sz w:val="24"/>
          <w:highlight w:val="none"/>
        </w:rPr>
        <w:t>注重专业特色发挥，组织开展“南丁格尔”护生传光授帽仪式、职业素质形象大赛、职业礼仪竞赛等以专业为特色的一系列活动，夯实学生的文化底蕴，提升职业素养；</w:t>
      </w:r>
      <w:r>
        <w:rPr>
          <w:rFonts w:asciiTheme="minorEastAsia" w:hAnsiTheme="minorEastAsia" w:eastAsiaTheme="minorEastAsia"/>
          <w:color w:val="auto"/>
          <w:sz w:val="24"/>
          <w:highlight w:val="none"/>
        </w:rPr>
        <w:t>六是</w:t>
      </w:r>
      <w:r>
        <w:rPr>
          <w:rFonts w:hint="eastAsia" w:asciiTheme="minorEastAsia" w:hAnsiTheme="minorEastAsia" w:eastAsiaTheme="minorEastAsia"/>
          <w:color w:val="auto"/>
          <w:kern w:val="0"/>
          <w:sz w:val="24"/>
          <w:highlight w:val="none"/>
        </w:rPr>
        <w:t>与时俱进，开发“天使”网络载体，</w:t>
      </w:r>
      <w:r>
        <w:rPr>
          <w:rFonts w:hint="eastAsia" w:asciiTheme="minorEastAsia" w:hAnsiTheme="minorEastAsia" w:eastAsiaTheme="minorEastAsia"/>
          <w:color w:val="auto"/>
          <w:sz w:val="24"/>
          <w:highlight w:val="none"/>
        </w:rPr>
        <w:t>以学校网站为建设基础，开设“天使文化”网上宣传平台，进行微信推送，推进“天使文化”在社会、家长等校外群体中的宣传力度，促进家校之间的文化。</w:t>
      </w:r>
    </w:p>
    <w:p>
      <w:pPr>
        <w:widowControl/>
        <w:snapToGrid w:val="0"/>
        <w:spacing w:line="360" w:lineRule="auto"/>
        <w:ind w:firstLine="361" w:firstLineChars="150"/>
        <w:jc w:val="left"/>
        <w:outlineLvl w:val="2"/>
        <w:rPr>
          <w:rFonts w:cs="宋体" w:asciiTheme="minorEastAsia" w:hAnsiTheme="minorEastAsia" w:eastAsiaTheme="minorEastAsia"/>
          <w:b/>
          <w:color w:val="auto"/>
          <w:kern w:val="0"/>
          <w:sz w:val="24"/>
          <w:highlight w:val="none"/>
        </w:rPr>
      </w:pPr>
      <w:bookmarkStart w:id="56" w:name="_Toc471905937"/>
      <w:bookmarkStart w:id="57" w:name="_Toc467049622"/>
      <w:bookmarkStart w:id="58" w:name="_Toc471905460"/>
      <w:r>
        <w:rPr>
          <w:rFonts w:hint="eastAsia" w:cs="宋体" w:asciiTheme="minorEastAsia" w:hAnsiTheme="minorEastAsia" w:eastAsiaTheme="minorEastAsia"/>
          <w:b/>
          <w:color w:val="auto"/>
          <w:kern w:val="0"/>
          <w:sz w:val="24"/>
          <w:highlight w:val="none"/>
        </w:rPr>
        <w:t>（2）创新“天使文化”育人模式</w:t>
      </w:r>
      <w:bookmarkEnd w:id="56"/>
      <w:bookmarkEnd w:id="57"/>
      <w:bookmarkEnd w:id="58"/>
    </w:p>
    <w:p>
      <w:pPr>
        <w:widowControl/>
        <w:snapToGrid w:val="0"/>
        <w:spacing w:line="360" w:lineRule="auto"/>
        <w:ind w:firstLine="480" w:firstLineChars="200"/>
        <w:jc w:val="left"/>
        <w:outlineLvl w:val="2"/>
        <w:rPr>
          <w:rFonts w:cs="宋体" w:asciiTheme="minorEastAsia" w:hAnsiTheme="minorEastAsia" w:eastAsiaTheme="minorEastAsia"/>
          <w:b/>
          <w:color w:val="auto"/>
          <w:kern w:val="0"/>
          <w:sz w:val="24"/>
          <w:highlight w:val="none"/>
        </w:rPr>
      </w:pPr>
      <w:bookmarkStart w:id="59" w:name="_Toc471905461"/>
      <w:bookmarkStart w:id="60" w:name="_Toc471905938"/>
      <w:r>
        <w:rPr>
          <w:rFonts w:hint="eastAsia" w:asciiTheme="minorEastAsia" w:hAnsiTheme="minorEastAsia" w:eastAsiaTheme="minorEastAsia"/>
          <w:color w:val="auto"/>
          <w:sz w:val="24"/>
          <w:szCs w:val="22"/>
          <w:highlight w:val="none"/>
        </w:rPr>
        <w:t>创新文化育人模式，构建以</w:t>
      </w:r>
      <w:r>
        <w:rPr>
          <w:rFonts w:hint="eastAsia" w:asciiTheme="minorEastAsia" w:hAnsiTheme="minorEastAsia" w:eastAsiaTheme="minorEastAsia"/>
          <w:bCs/>
          <w:color w:val="auto"/>
          <w:sz w:val="24"/>
          <w:szCs w:val="22"/>
          <w:highlight w:val="none"/>
        </w:rPr>
        <w:t>“塑形、育心、铸魂”为培养目标和路径的“天使育人工程”。</w:t>
      </w:r>
      <w:r>
        <w:rPr>
          <w:rFonts w:hint="eastAsia" w:asciiTheme="minorEastAsia" w:hAnsiTheme="minorEastAsia" w:eastAsiaTheme="minorEastAsia"/>
          <w:color w:val="auto"/>
          <w:sz w:val="24"/>
          <w:szCs w:val="22"/>
          <w:highlight w:val="none"/>
        </w:rPr>
        <w:t>“塑形”是在7S标准化管理基础上，融合心理学知识，建立学生“三自律”体系，即仪表自律提精神，言行自律展文明，情绪自律增修养，塑造规范自律、文明守礼、身心健康、积极向上的“天使之形”。“</w:t>
      </w:r>
      <w:r>
        <w:rPr>
          <w:rFonts w:asciiTheme="minorEastAsia" w:hAnsiTheme="minorEastAsia" w:eastAsiaTheme="minorEastAsia"/>
          <w:color w:val="auto"/>
          <w:sz w:val="24"/>
          <w:szCs w:val="22"/>
          <w:highlight w:val="none"/>
        </w:rPr>
        <w:t>育心</w:t>
      </w:r>
      <w:r>
        <w:rPr>
          <w:rFonts w:hint="eastAsia" w:asciiTheme="minorEastAsia" w:hAnsiTheme="minorEastAsia" w:eastAsiaTheme="minorEastAsia"/>
          <w:color w:val="auto"/>
          <w:sz w:val="24"/>
          <w:szCs w:val="22"/>
          <w:highlight w:val="none"/>
        </w:rPr>
        <w:t>”通过主题教育炼四心、天使讲堂扬正气、志愿活动献爱心三个途径将医护工作者的“爱心、细心、耐心、责任心”融入到日常的教育教学活动中，引导学生在实践中增强职业素养，在活动中感受正能量，在体验中传递爱与奉献，培育一颗天使的奉献之心。“铸魂”以学业发展为主线，通过职业文化分层递进教育，一年级专业启蒙，职业体验树理想，二年级职业规划，选择方向定信念，三年级岗位实践，服务社会守信仰，培育具有坚定职业信念的 “天使之魂”。</w:t>
      </w:r>
      <w:bookmarkEnd w:id="59"/>
      <w:bookmarkEnd w:id="60"/>
    </w:p>
    <w:bookmarkEnd w:id="53"/>
    <w:p>
      <w:pPr>
        <w:pStyle w:val="3"/>
        <w:keepNext w:val="0"/>
        <w:keepLines w:val="0"/>
        <w:adjustRightInd w:val="0"/>
        <w:snapToGrid w:val="0"/>
        <w:spacing w:line="360" w:lineRule="auto"/>
        <w:ind w:firstLine="482" w:firstLineChars="200"/>
        <w:rPr>
          <w:rFonts w:ascii="黑体" w:hAnsi="黑体"/>
          <w:color w:val="auto"/>
          <w:sz w:val="24"/>
          <w:highlight w:val="none"/>
        </w:rPr>
      </w:pPr>
      <w:bookmarkStart w:id="61" w:name="_Toc471905939"/>
      <w:r>
        <w:rPr>
          <w:rFonts w:hint="eastAsia" w:ascii="黑体" w:hAnsi="黑体"/>
          <w:color w:val="auto"/>
          <w:sz w:val="24"/>
          <w:highlight w:val="none"/>
        </w:rPr>
        <w:t>3.5.3“文明风采”活动开展情况</w:t>
      </w:r>
      <w:bookmarkEnd w:id="61"/>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在“文明风采”竞赛领导小组指导下，根据《第十四届全国中等职业学校“文明风采”竞赛》的文件精神，201</w:t>
      </w: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年在系列德育实践活动基础上，将我校的文化艺术技能节活动、社团活动、元旦迎新汇演与“文明风采”竞赛紧密结合，由学工处牵头具体校级赛项，全校学生积极参赛，全面增强学生的职业能力，提升学生综合素质。在本届“文明风采”竞赛活动中，共产生了2000多份作品，经过校内初评，推荐</w:t>
      </w:r>
      <w:r>
        <w:rPr>
          <w:rFonts w:asciiTheme="minorEastAsia" w:hAnsiTheme="minorEastAsia" w:eastAsiaTheme="minorEastAsia"/>
          <w:color w:val="auto"/>
          <w:sz w:val="24"/>
          <w:highlight w:val="none"/>
        </w:rPr>
        <w:t>50</w:t>
      </w:r>
      <w:r>
        <w:rPr>
          <w:rFonts w:hint="eastAsia" w:asciiTheme="minorEastAsia" w:hAnsiTheme="minorEastAsia" w:eastAsiaTheme="minorEastAsia"/>
          <w:color w:val="auto"/>
          <w:sz w:val="24"/>
          <w:highlight w:val="none"/>
        </w:rPr>
        <w:t>份作品报送嘉兴市，经嘉兴复赛，评出1</w:t>
      </w: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 xml:space="preserve">件作品报省赛。 </w:t>
      </w:r>
    </w:p>
    <w:p>
      <w:pPr>
        <w:spacing w:line="360" w:lineRule="auto"/>
        <w:ind w:firstLine="241" w:firstLineChars="1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表10：201</w:t>
      </w:r>
      <w:r>
        <w:rPr>
          <w:rFonts w:cs="宋体" w:asciiTheme="minorEastAsia" w:hAnsiTheme="minorEastAsia" w:eastAsiaTheme="minorEastAsia"/>
          <w:b/>
          <w:color w:val="auto"/>
          <w:kern w:val="0"/>
          <w:sz w:val="24"/>
          <w:highlight w:val="none"/>
        </w:rPr>
        <w:t>7</w:t>
      </w:r>
      <w:r>
        <w:rPr>
          <w:rFonts w:hint="eastAsia" w:cs="宋体" w:asciiTheme="minorEastAsia" w:hAnsiTheme="minorEastAsia" w:eastAsiaTheme="minorEastAsia"/>
          <w:b/>
          <w:color w:val="auto"/>
          <w:kern w:val="0"/>
          <w:sz w:val="24"/>
          <w:highlight w:val="none"/>
        </w:rPr>
        <w:t>年</w:t>
      </w:r>
      <w:r>
        <w:rPr>
          <w:rFonts w:hint="eastAsia" w:ascii="宋体" w:hAnsi="宋体"/>
          <w:b/>
          <w:color w:val="auto"/>
          <w:sz w:val="24"/>
          <w:highlight w:val="none"/>
        </w:rPr>
        <w:t>学校“文明风采”竞赛开展情况汇总表</w:t>
      </w:r>
    </w:p>
    <w:tbl>
      <w:tblPr>
        <w:tblStyle w:val="14"/>
        <w:tblW w:w="9796" w:type="dxa"/>
        <w:tblInd w:w="0" w:type="dxa"/>
        <w:tblLayout w:type="fixed"/>
        <w:tblCellMar>
          <w:top w:w="15" w:type="dxa"/>
          <w:left w:w="15" w:type="dxa"/>
          <w:bottom w:w="15" w:type="dxa"/>
          <w:right w:w="15" w:type="dxa"/>
        </w:tblCellMar>
      </w:tblPr>
      <w:tblGrid>
        <w:gridCol w:w="1858"/>
        <w:gridCol w:w="1276"/>
        <w:gridCol w:w="1134"/>
        <w:gridCol w:w="1134"/>
        <w:gridCol w:w="1276"/>
        <w:gridCol w:w="1275"/>
        <w:gridCol w:w="1843"/>
      </w:tblGrid>
      <w:tr>
        <w:tblPrEx>
          <w:tblLayout w:type="fixed"/>
          <w:tblCellMar>
            <w:top w:w="15" w:type="dxa"/>
            <w:left w:w="15" w:type="dxa"/>
            <w:bottom w:w="15" w:type="dxa"/>
            <w:right w:w="15" w:type="dxa"/>
          </w:tblCellMar>
        </w:tblPrEx>
        <w:trPr>
          <w:trHeight w:val="617"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项目</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参赛人数</w:t>
            </w:r>
          </w:p>
        </w:tc>
        <w:tc>
          <w:tcPr>
            <w:tcW w:w="11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作品总量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报送数量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地市级获奖</w:t>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省赛获奖</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国赛获奖</w:t>
            </w:r>
          </w:p>
        </w:tc>
      </w:tr>
      <w:tr>
        <w:tblPrEx>
          <w:tblLayout w:type="fixed"/>
          <w:tblCellMar>
            <w:top w:w="15" w:type="dxa"/>
            <w:left w:w="15" w:type="dxa"/>
            <w:bottom w:w="15" w:type="dxa"/>
            <w:right w:w="15" w:type="dxa"/>
          </w:tblCellMar>
        </w:tblPrEx>
        <w:trPr>
          <w:trHeight w:val="617"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征文演讲类</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10</w:t>
            </w:r>
            <w:r>
              <w:rPr>
                <w:rFonts w:ascii="仿宋" w:hAnsi="仿宋" w:eastAsia="仿宋"/>
                <w:color w:val="auto"/>
                <w:sz w:val="24"/>
                <w:highlight w:val="none"/>
              </w:rPr>
              <w:t>34</w:t>
            </w:r>
          </w:p>
        </w:tc>
        <w:tc>
          <w:tcPr>
            <w:tcW w:w="11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10</w:t>
            </w:r>
            <w:r>
              <w:rPr>
                <w:rFonts w:ascii="仿宋" w:hAnsi="仿宋" w:eastAsia="仿宋"/>
                <w:color w:val="auto"/>
                <w:sz w:val="24"/>
                <w:highlight w:val="none"/>
              </w:rPr>
              <w:t>34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 w:val="24"/>
                <w:highlight w:val="none"/>
              </w:rPr>
            </w:pPr>
            <w:r>
              <w:rPr>
                <w:rFonts w:ascii="仿宋" w:hAnsi="仿宋" w:eastAsia="仿宋"/>
                <w:color w:val="auto"/>
                <w:sz w:val="24"/>
                <w:highlight w:val="none"/>
              </w:rPr>
              <w:t>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3</w:t>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1</w:t>
            </w:r>
          </w:p>
        </w:tc>
      </w:tr>
      <w:tr>
        <w:tblPrEx>
          <w:tblLayout w:type="fixed"/>
          <w:tblCellMar>
            <w:top w:w="15" w:type="dxa"/>
            <w:left w:w="15" w:type="dxa"/>
            <w:bottom w:w="15" w:type="dxa"/>
            <w:right w:w="15" w:type="dxa"/>
          </w:tblCellMar>
        </w:tblPrEx>
        <w:trPr>
          <w:trHeight w:val="617"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职业生涯规划</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r>
              <w:rPr>
                <w:rFonts w:ascii="仿宋" w:hAnsi="仿宋" w:eastAsia="仿宋"/>
                <w:color w:val="auto"/>
                <w:sz w:val="24"/>
                <w:highlight w:val="none"/>
              </w:rPr>
              <w:t>945</w:t>
            </w:r>
          </w:p>
        </w:tc>
        <w:tc>
          <w:tcPr>
            <w:tcW w:w="11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9</w:t>
            </w:r>
            <w:r>
              <w:rPr>
                <w:rFonts w:ascii="仿宋" w:hAnsi="仿宋" w:eastAsia="仿宋"/>
                <w:color w:val="auto"/>
                <w:sz w:val="24"/>
                <w:highlight w:val="none"/>
              </w:rPr>
              <w:t>45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 w:val="24"/>
                <w:highlight w:val="none"/>
              </w:rPr>
            </w:pPr>
            <w:r>
              <w:rPr>
                <w:rFonts w:ascii="仿宋" w:hAnsi="仿宋" w:eastAsia="仿宋"/>
                <w:color w:val="auto"/>
                <w:sz w:val="24"/>
                <w:highlight w:val="none"/>
              </w:rPr>
              <w:t>7</w:t>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1</w:t>
            </w:r>
          </w:p>
        </w:tc>
      </w:tr>
      <w:tr>
        <w:tblPrEx>
          <w:tblLayout w:type="fixed"/>
          <w:tblCellMar>
            <w:top w:w="15" w:type="dxa"/>
            <w:left w:w="15" w:type="dxa"/>
            <w:bottom w:w="15" w:type="dxa"/>
            <w:right w:w="15" w:type="dxa"/>
          </w:tblCellMar>
        </w:tblPrEx>
        <w:trPr>
          <w:trHeight w:val="617"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微视频类</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r>
              <w:rPr>
                <w:rFonts w:ascii="仿宋" w:hAnsi="仿宋" w:eastAsia="仿宋"/>
                <w:color w:val="auto"/>
                <w:sz w:val="24"/>
                <w:highlight w:val="none"/>
              </w:rPr>
              <w:t>35</w:t>
            </w:r>
          </w:p>
        </w:tc>
        <w:tc>
          <w:tcPr>
            <w:tcW w:w="11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olor w:val="auto"/>
                <w:sz w:val="24"/>
                <w:highlight w:val="none"/>
              </w:rPr>
            </w:pPr>
            <w:r>
              <w:rPr>
                <w:rFonts w:ascii="仿宋" w:hAnsi="仿宋" w:eastAsia="仿宋"/>
                <w:color w:val="auto"/>
                <w:sz w:val="24"/>
                <w:highlight w:val="none"/>
              </w:rPr>
              <w:t>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 w:val="24"/>
                <w:highlight w:val="none"/>
              </w:rPr>
            </w:pPr>
            <w:r>
              <w:rPr>
                <w:rFonts w:ascii="仿宋" w:hAnsi="仿宋" w:eastAsia="仿宋"/>
                <w:color w:val="auto"/>
                <w:sz w:val="24"/>
                <w:highlight w:val="none"/>
              </w:rPr>
              <w:t>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highlight w:val="none"/>
              </w:rPr>
            </w:pPr>
          </w:p>
        </w:tc>
      </w:tr>
      <w:tr>
        <w:tblPrEx>
          <w:tblLayout w:type="fixed"/>
          <w:tblCellMar>
            <w:top w:w="15" w:type="dxa"/>
            <w:left w:w="15" w:type="dxa"/>
            <w:bottom w:w="15" w:type="dxa"/>
            <w:right w:w="15" w:type="dxa"/>
          </w:tblCellMar>
        </w:tblPrEx>
        <w:trPr>
          <w:trHeight w:val="617"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bidi="ar"/>
              </w:rPr>
              <w:t>摄影类</w:t>
            </w:r>
          </w:p>
        </w:tc>
        <w:tc>
          <w:tcPr>
            <w:tcW w:w="127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bidi="ar"/>
              </w:rPr>
              <w:t>48</w:t>
            </w:r>
          </w:p>
        </w:tc>
        <w:tc>
          <w:tcPr>
            <w:tcW w:w="1134" w:type="dxa"/>
            <w:tcBorders>
              <w:bottom w:val="single" w:color="auto" w:sz="4" w:space="0"/>
              <w:right w:val="single" w:color="auto" w:sz="4" w:space="0"/>
            </w:tcBorders>
            <w:vAlign w:val="center"/>
          </w:tcPr>
          <w:p>
            <w:pPr>
              <w:widowControl/>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bidi="ar"/>
              </w:rPr>
              <w:t>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1275"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color w:val="auto"/>
                <w:sz w:val="24"/>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auto"/>
                <w:sz w:val="24"/>
                <w:highlight w:val="none"/>
              </w:rPr>
            </w:pPr>
          </w:p>
        </w:tc>
      </w:tr>
      <w:tr>
        <w:tblPrEx>
          <w:tblLayout w:type="fixed"/>
          <w:tblCellMar>
            <w:top w:w="15" w:type="dxa"/>
            <w:left w:w="15" w:type="dxa"/>
            <w:bottom w:w="15" w:type="dxa"/>
            <w:right w:w="15" w:type="dxa"/>
          </w:tblCellMar>
        </w:tblPrEx>
        <w:trPr>
          <w:trHeight w:val="617"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bidi="ar"/>
              </w:rPr>
              <w:t>才艺展示类</w:t>
            </w:r>
          </w:p>
        </w:tc>
        <w:tc>
          <w:tcPr>
            <w:tcW w:w="127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auto"/>
                <w:sz w:val="24"/>
                <w:highlight w:val="none"/>
              </w:rPr>
            </w:pPr>
            <w:r>
              <w:rPr>
                <w:rFonts w:ascii="仿宋" w:hAnsi="仿宋" w:eastAsia="仿宋" w:cs="宋体"/>
                <w:color w:val="auto"/>
                <w:kern w:val="0"/>
                <w:sz w:val="24"/>
                <w:highlight w:val="none"/>
                <w:lang w:bidi="ar"/>
              </w:rPr>
              <w:t>35</w:t>
            </w:r>
          </w:p>
        </w:tc>
        <w:tc>
          <w:tcPr>
            <w:tcW w:w="1134"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color w:val="auto"/>
                <w:sz w:val="24"/>
                <w:highlight w:val="none"/>
              </w:rPr>
            </w:pPr>
            <w:r>
              <w:rPr>
                <w:rFonts w:ascii="仿宋" w:hAnsi="仿宋" w:eastAsia="仿宋" w:cs="宋体"/>
                <w:color w:val="auto"/>
                <w:kern w:val="0"/>
                <w:sz w:val="24"/>
                <w:highlight w:val="none"/>
                <w:lang w:bidi="ar"/>
              </w:rPr>
              <w:t>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auto"/>
                <w:sz w:val="24"/>
                <w:highlight w:val="none"/>
              </w:rPr>
            </w:pPr>
            <w:r>
              <w:rPr>
                <w:rFonts w:ascii="仿宋" w:hAnsi="仿宋" w:eastAsia="仿宋" w:cs="宋体"/>
                <w:color w:val="auto"/>
                <w:kern w:val="0"/>
                <w:sz w:val="24"/>
                <w:highlight w:val="none"/>
                <w:lang w:bidi="ar"/>
              </w:rPr>
              <w:t>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auto"/>
                <w:sz w:val="24"/>
                <w:highlight w:val="none"/>
              </w:rPr>
            </w:pPr>
            <w:r>
              <w:rPr>
                <w:rFonts w:ascii="仿宋" w:hAnsi="仿宋" w:eastAsia="仿宋" w:cs="宋体"/>
                <w:color w:val="auto"/>
                <w:sz w:val="24"/>
                <w:highlight w:val="none"/>
              </w:rPr>
              <w:t>4</w:t>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auto"/>
                <w:sz w:val="24"/>
                <w:highlight w:val="none"/>
              </w:rPr>
            </w:pPr>
          </w:p>
        </w:tc>
      </w:tr>
      <w:tr>
        <w:tblPrEx>
          <w:tblLayout w:type="fixed"/>
          <w:tblCellMar>
            <w:top w:w="15" w:type="dxa"/>
            <w:left w:w="15" w:type="dxa"/>
            <w:bottom w:w="15" w:type="dxa"/>
            <w:right w:w="15" w:type="dxa"/>
          </w:tblCellMar>
        </w:tblPrEx>
        <w:trPr>
          <w:trHeight w:val="617"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合计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2097</w:t>
            </w:r>
          </w:p>
        </w:tc>
        <w:tc>
          <w:tcPr>
            <w:tcW w:w="11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2021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auto"/>
                <w:kern w:val="0"/>
                <w:sz w:val="24"/>
                <w:highlight w:val="none"/>
                <w:lang w:bidi="ar"/>
              </w:rPr>
            </w:pPr>
            <w:r>
              <w:rPr>
                <w:rFonts w:ascii="仿宋" w:hAnsi="仿宋" w:eastAsia="仿宋" w:cs="宋体"/>
                <w:color w:val="auto"/>
                <w:kern w:val="0"/>
                <w:sz w:val="24"/>
                <w:highlight w:val="none"/>
                <w:lang w:bidi="ar"/>
              </w:rPr>
              <w:t>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31</w:t>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6</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r>
      <w:bookmarkEnd w:id="48"/>
    </w:tbl>
    <w:p>
      <w:pPr>
        <w:pStyle w:val="3"/>
        <w:keepNext w:val="0"/>
        <w:keepLines w:val="0"/>
        <w:adjustRightInd w:val="0"/>
        <w:snapToGrid w:val="0"/>
        <w:spacing w:before="156" w:beforeLines="50" w:line="360" w:lineRule="auto"/>
        <w:ind w:firstLine="482" w:firstLineChars="200"/>
        <w:rPr>
          <w:rFonts w:ascii="黑体" w:hAnsi="黑体"/>
          <w:color w:val="auto"/>
          <w:sz w:val="24"/>
        </w:rPr>
      </w:pPr>
      <w:r>
        <w:rPr>
          <w:rFonts w:hint="eastAsia" w:ascii="黑体" w:hAnsi="黑体"/>
          <w:color w:val="auto"/>
          <w:sz w:val="24"/>
        </w:rPr>
        <w:t>3.5.4社团活动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heme="minorEastAsia" w:hAnsiTheme="minorEastAsia" w:eastAsiaTheme="minorEastAsia"/>
          <w:color w:val="auto"/>
          <w:sz w:val="24"/>
        </w:rPr>
      </w:pPr>
      <w:r>
        <w:rPr>
          <w:rFonts w:hint="eastAsia" w:cs="Arial" w:asciiTheme="minorEastAsia" w:hAnsiTheme="minorEastAsia" w:eastAsiaTheme="minorEastAsia"/>
          <w:color w:val="auto"/>
          <w:kern w:val="0"/>
          <w:sz w:val="24"/>
        </w:rPr>
        <w:t>我校学生社团</w:t>
      </w:r>
      <w:r>
        <w:rPr>
          <w:rFonts w:hint="eastAsia" w:asciiTheme="minorEastAsia" w:hAnsiTheme="minorEastAsia" w:eastAsiaTheme="minorEastAsia"/>
          <w:color w:val="auto"/>
          <w:sz w:val="24"/>
        </w:rPr>
        <w:t>依照“规范化、多样化、精品化” 的社团发展总思路，</w:t>
      </w:r>
      <w:r>
        <w:rPr>
          <w:rFonts w:hint="eastAsia" w:cs="Arial" w:asciiTheme="minorEastAsia" w:hAnsiTheme="minorEastAsia" w:eastAsiaTheme="minorEastAsia"/>
          <w:color w:val="auto"/>
          <w:kern w:val="0"/>
          <w:sz w:val="24"/>
        </w:rPr>
        <w:t>营造特色校园文化，充分发挥学生特长和能力，深化中职生素质教育，进一步落实立德树人的根本任务，不断踏实进取、锐意创新。201</w:t>
      </w:r>
      <w:r>
        <w:rPr>
          <w:rFonts w:cs="Arial" w:asciiTheme="minorEastAsia" w:hAnsiTheme="minorEastAsia" w:eastAsiaTheme="minorEastAsia"/>
          <w:color w:val="auto"/>
          <w:kern w:val="0"/>
          <w:sz w:val="24"/>
        </w:rPr>
        <w:t>7</w:t>
      </w:r>
      <w:r>
        <w:rPr>
          <w:rFonts w:hint="eastAsia" w:cs="Arial" w:asciiTheme="minorEastAsia" w:hAnsiTheme="minorEastAsia" w:eastAsiaTheme="minorEastAsia"/>
          <w:color w:val="auto"/>
          <w:kern w:val="0"/>
          <w:sz w:val="24"/>
        </w:rPr>
        <w:t>年以省改革发展示范校建设为契机，持续加强社团服务功能，促进社团育人功能，成为我校“</w:t>
      </w:r>
      <w:r>
        <w:rPr>
          <w:rFonts w:hint="eastAsia" w:asciiTheme="minorEastAsia" w:hAnsiTheme="minorEastAsia" w:eastAsiaTheme="minorEastAsia"/>
          <w:color w:val="auto"/>
          <w:sz w:val="24"/>
        </w:rPr>
        <w:t>天使育人工程”颇具特色的重要环节。</w:t>
      </w:r>
    </w:p>
    <w:p>
      <w:pPr>
        <w:spacing w:line="360" w:lineRule="auto"/>
        <w:ind w:firstLine="241" w:firstLineChars="100"/>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表11：201</w:t>
      </w:r>
      <w:r>
        <w:rPr>
          <w:rFonts w:cs="宋体" w:asciiTheme="minorEastAsia" w:hAnsiTheme="minorEastAsia" w:eastAsiaTheme="minorEastAsia"/>
          <w:b/>
          <w:color w:val="auto"/>
          <w:kern w:val="0"/>
          <w:sz w:val="24"/>
        </w:rPr>
        <w:t>7</w:t>
      </w:r>
      <w:r>
        <w:rPr>
          <w:rFonts w:hint="eastAsia" w:cs="宋体" w:asciiTheme="minorEastAsia" w:hAnsiTheme="minorEastAsia" w:eastAsiaTheme="minorEastAsia"/>
          <w:b/>
          <w:color w:val="auto"/>
          <w:kern w:val="0"/>
          <w:sz w:val="24"/>
        </w:rPr>
        <w:t>年度学校社团活动情况一览表</w:t>
      </w:r>
    </w:p>
    <w:tbl>
      <w:tblPr>
        <w:tblStyle w:val="14"/>
        <w:tblW w:w="9654" w:type="dxa"/>
        <w:tblInd w:w="93" w:type="dxa"/>
        <w:tblLayout w:type="fixed"/>
        <w:tblCellMar>
          <w:top w:w="0" w:type="dxa"/>
          <w:left w:w="108" w:type="dxa"/>
          <w:bottom w:w="0" w:type="dxa"/>
          <w:right w:w="108" w:type="dxa"/>
        </w:tblCellMar>
      </w:tblPr>
      <w:tblGrid>
        <w:gridCol w:w="582"/>
        <w:gridCol w:w="1058"/>
        <w:gridCol w:w="1069"/>
        <w:gridCol w:w="1984"/>
        <w:gridCol w:w="4961"/>
      </w:tblGrid>
      <w:tr>
        <w:tblPrEx>
          <w:tblLayout w:type="fixed"/>
          <w:tblCellMar>
            <w:top w:w="0" w:type="dxa"/>
            <w:left w:w="108" w:type="dxa"/>
            <w:bottom w:w="0" w:type="dxa"/>
            <w:right w:w="108" w:type="dxa"/>
          </w:tblCellMar>
        </w:tblPrEx>
        <w:trPr>
          <w:trHeight w:val="499" w:hRule="atLeast"/>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序号</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带团</w:t>
            </w:r>
          </w:p>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教师</w:t>
            </w:r>
          </w:p>
        </w:tc>
        <w:tc>
          <w:tcPr>
            <w:tcW w:w="10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成员数</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社团名称</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活动内容</w:t>
            </w:r>
          </w:p>
        </w:tc>
      </w:tr>
      <w:tr>
        <w:tblPrEx>
          <w:tblLayout w:type="fixed"/>
          <w:tblCellMar>
            <w:top w:w="0" w:type="dxa"/>
            <w:left w:w="108" w:type="dxa"/>
            <w:bottom w:w="0" w:type="dxa"/>
            <w:right w:w="108" w:type="dxa"/>
          </w:tblCellMar>
        </w:tblPrEx>
        <w:trPr>
          <w:trHeight w:val="39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2"/>
                <w:szCs w:val="22"/>
              </w:rPr>
            </w:pPr>
            <w:r>
              <w:rPr>
                <w:rFonts w:hint="eastAsia"/>
                <w:color w:val="auto"/>
                <w:sz w:val="22"/>
                <w:szCs w:val="22"/>
              </w:rPr>
              <w:t>金峥婷</w:t>
            </w:r>
          </w:p>
        </w:tc>
        <w:tc>
          <w:tcPr>
            <w:tcW w:w="10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2"/>
                <w:szCs w:val="22"/>
              </w:rPr>
            </w:pPr>
            <w:r>
              <w:rPr>
                <w:rFonts w:hint="eastAsia"/>
                <w:color w:val="auto"/>
                <w:sz w:val="22"/>
                <w:szCs w:val="22"/>
              </w:rPr>
              <w:t>40</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2"/>
                <w:szCs w:val="22"/>
              </w:rPr>
            </w:pPr>
            <w:r>
              <w:rPr>
                <w:rFonts w:hint="eastAsia"/>
                <w:color w:val="auto"/>
                <w:sz w:val="22"/>
                <w:szCs w:val="22"/>
              </w:rPr>
              <w:t>天籁合唱社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合唱节目排练，承担学校大型活动表演节目</w:t>
            </w:r>
          </w:p>
        </w:tc>
      </w:tr>
      <w:tr>
        <w:tblPrEx>
          <w:tblLayout w:type="fixed"/>
          <w:tblCellMar>
            <w:top w:w="0" w:type="dxa"/>
            <w:left w:w="108" w:type="dxa"/>
            <w:bottom w:w="0" w:type="dxa"/>
            <w:right w:w="108" w:type="dxa"/>
          </w:tblCellMar>
        </w:tblPrEx>
        <w:trPr>
          <w:trHeight w:val="499"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2</w:t>
            </w:r>
          </w:p>
        </w:tc>
        <w:tc>
          <w:tcPr>
            <w:tcW w:w="1058"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吕翔</w:t>
            </w:r>
            <w:r>
              <w:rPr>
                <w:color w:val="auto"/>
                <w:sz w:val="22"/>
                <w:szCs w:val="22"/>
              </w:rPr>
              <w:t>燕</w:t>
            </w:r>
          </w:p>
        </w:tc>
        <w:tc>
          <w:tcPr>
            <w:tcW w:w="1069"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40</w:t>
            </w:r>
          </w:p>
        </w:tc>
        <w:tc>
          <w:tcPr>
            <w:tcW w:w="1984"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青春藤舞蹈社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民族舞与现代舞学习</w:t>
            </w:r>
          </w:p>
        </w:tc>
      </w:tr>
      <w:tr>
        <w:tblPrEx>
          <w:tblLayout w:type="fixed"/>
          <w:tblCellMar>
            <w:top w:w="0" w:type="dxa"/>
            <w:left w:w="108" w:type="dxa"/>
            <w:bottom w:w="0" w:type="dxa"/>
            <w:right w:w="108" w:type="dxa"/>
          </w:tblCellMar>
        </w:tblPrEx>
        <w:trPr>
          <w:trHeight w:val="45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3</w:t>
            </w:r>
          </w:p>
        </w:tc>
        <w:tc>
          <w:tcPr>
            <w:tcW w:w="1058"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夏琳</w:t>
            </w:r>
            <w:r>
              <w:rPr>
                <w:color w:val="auto"/>
                <w:sz w:val="22"/>
                <w:szCs w:val="22"/>
              </w:rPr>
              <w:t>琪</w:t>
            </w:r>
          </w:p>
        </w:tc>
        <w:tc>
          <w:tcPr>
            <w:tcW w:w="1069"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30</w:t>
            </w:r>
          </w:p>
        </w:tc>
        <w:tc>
          <w:tcPr>
            <w:tcW w:w="1984"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G调器乐社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器乐</w:t>
            </w:r>
            <w:r>
              <w:rPr>
                <w:rFonts w:ascii="仿宋" w:hAnsi="仿宋" w:eastAsia="仿宋" w:cs="宋体"/>
                <w:color w:val="auto"/>
                <w:kern w:val="0"/>
                <w:sz w:val="24"/>
              </w:rPr>
              <w:t>演奏</w:t>
            </w:r>
          </w:p>
        </w:tc>
      </w:tr>
      <w:tr>
        <w:tblPrEx>
          <w:tblLayout w:type="fixed"/>
          <w:tblCellMar>
            <w:top w:w="0" w:type="dxa"/>
            <w:left w:w="108" w:type="dxa"/>
            <w:bottom w:w="0" w:type="dxa"/>
            <w:right w:w="108" w:type="dxa"/>
          </w:tblCellMar>
        </w:tblPrEx>
        <w:trPr>
          <w:trHeight w:val="39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4</w:t>
            </w:r>
          </w:p>
        </w:tc>
        <w:tc>
          <w:tcPr>
            <w:tcW w:w="1058"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张  群</w:t>
            </w:r>
          </w:p>
        </w:tc>
        <w:tc>
          <w:tcPr>
            <w:tcW w:w="1069"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30</w:t>
            </w:r>
          </w:p>
        </w:tc>
        <w:tc>
          <w:tcPr>
            <w:tcW w:w="1984"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4"/>
              </w:rPr>
            </w:pPr>
            <w:r>
              <w:rPr>
                <w:rFonts w:hint="eastAsia"/>
                <w:color w:val="auto"/>
              </w:rPr>
              <w:t>青春戏剧社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喜剧</w:t>
            </w:r>
            <w:r>
              <w:rPr>
                <w:rFonts w:ascii="仿宋" w:hAnsi="仿宋" w:eastAsia="仿宋" w:cs="宋体"/>
                <w:color w:val="auto"/>
                <w:kern w:val="0"/>
                <w:sz w:val="24"/>
              </w:rPr>
              <w:t>表演、舞</w:t>
            </w:r>
            <w:r>
              <w:rPr>
                <w:rFonts w:hint="eastAsia" w:ascii="仿宋" w:hAnsi="仿宋" w:eastAsia="仿宋" w:cs="宋体"/>
                <w:color w:val="auto"/>
                <w:kern w:val="0"/>
                <w:sz w:val="24"/>
              </w:rPr>
              <w:t>美</w:t>
            </w:r>
            <w:r>
              <w:rPr>
                <w:rFonts w:ascii="仿宋" w:hAnsi="仿宋" w:eastAsia="仿宋" w:cs="宋体"/>
                <w:color w:val="auto"/>
                <w:kern w:val="0"/>
                <w:sz w:val="24"/>
              </w:rPr>
              <w:t>编排</w:t>
            </w:r>
          </w:p>
        </w:tc>
      </w:tr>
      <w:tr>
        <w:tblPrEx>
          <w:tblLayout w:type="fixed"/>
          <w:tblCellMar>
            <w:top w:w="0" w:type="dxa"/>
            <w:left w:w="108" w:type="dxa"/>
            <w:bottom w:w="0" w:type="dxa"/>
            <w:right w:w="108" w:type="dxa"/>
          </w:tblCellMar>
        </w:tblPrEx>
        <w:trPr>
          <w:trHeight w:val="39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5</w:t>
            </w:r>
          </w:p>
        </w:tc>
        <w:tc>
          <w:tcPr>
            <w:tcW w:w="1058"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邵  琴</w:t>
            </w:r>
          </w:p>
        </w:tc>
        <w:tc>
          <w:tcPr>
            <w:tcW w:w="1069"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30</w:t>
            </w:r>
          </w:p>
        </w:tc>
        <w:tc>
          <w:tcPr>
            <w:tcW w:w="1984"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演讲配音社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演讲技能提升、主持人培养等</w:t>
            </w:r>
          </w:p>
        </w:tc>
      </w:tr>
      <w:tr>
        <w:tblPrEx>
          <w:tblLayout w:type="fixed"/>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6</w:t>
            </w:r>
          </w:p>
        </w:tc>
        <w:tc>
          <w:tcPr>
            <w:tcW w:w="1058"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徐  云</w:t>
            </w:r>
          </w:p>
        </w:tc>
        <w:tc>
          <w:tcPr>
            <w:tcW w:w="1069"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40</w:t>
            </w:r>
          </w:p>
        </w:tc>
        <w:tc>
          <w:tcPr>
            <w:tcW w:w="1984"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天使礼仪社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形体</w:t>
            </w:r>
            <w:r>
              <w:rPr>
                <w:rFonts w:ascii="仿宋" w:hAnsi="仿宋" w:eastAsia="仿宋" w:cs="宋体"/>
                <w:color w:val="auto"/>
                <w:kern w:val="0"/>
                <w:sz w:val="24"/>
              </w:rPr>
              <w:t>礼仪训练</w:t>
            </w:r>
          </w:p>
        </w:tc>
      </w:tr>
      <w:tr>
        <w:tblPrEx>
          <w:tblLayout w:type="fixed"/>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7</w:t>
            </w:r>
          </w:p>
        </w:tc>
        <w:tc>
          <w:tcPr>
            <w:tcW w:w="1058"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沈孝丽</w:t>
            </w:r>
          </w:p>
        </w:tc>
        <w:tc>
          <w:tcPr>
            <w:tcW w:w="1069"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40</w:t>
            </w:r>
          </w:p>
        </w:tc>
        <w:tc>
          <w:tcPr>
            <w:tcW w:w="1984"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创业规划社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职业生涯规划设计、校内设摊创业等</w:t>
            </w:r>
          </w:p>
        </w:tc>
      </w:tr>
      <w:tr>
        <w:tblPrEx>
          <w:tblLayout w:type="fixed"/>
          <w:tblCellMar>
            <w:top w:w="0" w:type="dxa"/>
            <w:left w:w="108" w:type="dxa"/>
            <w:bottom w:w="0" w:type="dxa"/>
            <w:right w:w="108" w:type="dxa"/>
          </w:tblCellMar>
        </w:tblPrEx>
        <w:trPr>
          <w:trHeight w:val="43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8</w:t>
            </w:r>
          </w:p>
        </w:tc>
        <w:tc>
          <w:tcPr>
            <w:tcW w:w="1058"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罗  靖</w:t>
            </w:r>
          </w:p>
        </w:tc>
        <w:tc>
          <w:tcPr>
            <w:tcW w:w="1069"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50</w:t>
            </w:r>
          </w:p>
        </w:tc>
        <w:tc>
          <w:tcPr>
            <w:tcW w:w="1984"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本草培植社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中药种植、培育等</w:t>
            </w:r>
          </w:p>
        </w:tc>
      </w:tr>
      <w:tr>
        <w:tblPrEx>
          <w:tblLayout w:type="fixed"/>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9</w:t>
            </w:r>
          </w:p>
        </w:tc>
        <w:tc>
          <w:tcPr>
            <w:tcW w:w="1058"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陈雨菁</w:t>
            </w:r>
          </w:p>
        </w:tc>
        <w:tc>
          <w:tcPr>
            <w:tcW w:w="1069"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30</w:t>
            </w:r>
          </w:p>
        </w:tc>
        <w:tc>
          <w:tcPr>
            <w:tcW w:w="1984"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阳光贴吧社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网吧</w:t>
            </w:r>
            <w:r>
              <w:rPr>
                <w:rFonts w:ascii="仿宋" w:hAnsi="仿宋" w:eastAsia="仿宋" w:cs="宋体"/>
                <w:color w:val="auto"/>
                <w:kern w:val="0"/>
                <w:sz w:val="24"/>
              </w:rPr>
              <w:t>管理</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10</w:t>
            </w:r>
          </w:p>
        </w:tc>
        <w:tc>
          <w:tcPr>
            <w:tcW w:w="1058"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周  丹</w:t>
            </w:r>
          </w:p>
        </w:tc>
        <w:tc>
          <w:tcPr>
            <w:tcW w:w="1069"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50</w:t>
            </w:r>
          </w:p>
        </w:tc>
        <w:tc>
          <w:tcPr>
            <w:tcW w:w="1984"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创意DIY社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手工制作</w:t>
            </w:r>
            <w:r>
              <w:rPr>
                <w:rFonts w:ascii="仿宋" w:hAnsi="仿宋" w:eastAsia="仿宋" w:cs="宋体"/>
                <w:color w:val="auto"/>
                <w:kern w:val="0"/>
                <w:sz w:val="24"/>
              </w:rPr>
              <w:t>、</w:t>
            </w:r>
            <w:r>
              <w:rPr>
                <w:rFonts w:hint="eastAsia" w:ascii="仿宋" w:hAnsi="仿宋" w:eastAsia="仿宋" w:cs="宋体"/>
                <w:color w:val="auto"/>
                <w:kern w:val="0"/>
                <w:sz w:val="24"/>
              </w:rPr>
              <w:t>变废为宝</w:t>
            </w:r>
          </w:p>
        </w:tc>
      </w:tr>
      <w:tr>
        <w:tblPrEx>
          <w:tblLayout w:type="fixed"/>
          <w:tblCellMar>
            <w:top w:w="0" w:type="dxa"/>
            <w:left w:w="108" w:type="dxa"/>
            <w:bottom w:w="0" w:type="dxa"/>
            <w:right w:w="108" w:type="dxa"/>
          </w:tblCellMar>
        </w:tblPrEx>
        <w:trPr>
          <w:trHeight w:val="48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11</w:t>
            </w:r>
          </w:p>
        </w:tc>
        <w:tc>
          <w:tcPr>
            <w:tcW w:w="1058"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徐  杲</w:t>
            </w:r>
          </w:p>
        </w:tc>
        <w:tc>
          <w:tcPr>
            <w:tcW w:w="1069"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30</w:t>
            </w:r>
          </w:p>
        </w:tc>
        <w:tc>
          <w:tcPr>
            <w:tcW w:w="1984"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梦想化学社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制作手工皂、护手霜、化学小实验等</w:t>
            </w:r>
          </w:p>
        </w:tc>
      </w:tr>
      <w:tr>
        <w:tblPrEx>
          <w:tblLayout w:type="fixed"/>
          <w:tblCellMar>
            <w:top w:w="0" w:type="dxa"/>
            <w:left w:w="108" w:type="dxa"/>
            <w:bottom w:w="0" w:type="dxa"/>
            <w:right w:w="108" w:type="dxa"/>
          </w:tblCellMar>
        </w:tblPrEx>
        <w:trPr>
          <w:trHeight w:val="42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12</w:t>
            </w:r>
          </w:p>
        </w:tc>
        <w:tc>
          <w:tcPr>
            <w:tcW w:w="1058"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虞镇华</w:t>
            </w:r>
          </w:p>
        </w:tc>
        <w:tc>
          <w:tcPr>
            <w:tcW w:w="1069"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40</w:t>
            </w:r>
          </w:p>
        </w:tc>
        <w:tc>
          <w:tcPr>
            <w:tcW w:w="1984" w:type="dxa"/>
            <w:tcBorders>
              <w:top w:val="nil"/>
              <w:left w:val="nil"/>
              <w:bottom w:val="single" w:color="auto" w:sz="4" w:space="0"/>
              <w:right w:val="single" w:color="auto" w:sz="4" w:space="0"/>
            </w:tcBorders>
            <w:shd w:val="clear" w:color="auto" w:fill="auto"/>
            <w:vAlign w:val="center"/>
          </w:tcPr>
          <w:p>
            <w:pPr>
              <w:jc w:val="center"/>
              <w:rPr>
                <w:rFonts w:hint="eastAsia"/>
                <w:color w:val="auto"/>
                <w:sz w:val="22"/>
                <w:szCs w:val="22"/>
              </w:rPr>
            </w:pPr>
            <w:r>
              <w:rPr>
                <w:rFonts w:hint="eastAsia"/>
                <w:color w:val="auto"/>
                <w:sz w:val="22"/>
                <w:szCs w:val="22"/>
              </w:rPr>
              <w:t>瑜伽养生社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瑜伽</w:t>
            </w:r>
            <w:r>
              <w:rPr>
                <w:rFonts w:ascii="仿宋" w:hAnsi="仿宋" w:eastAsia="仿宋" w:cs="宋体"/>
                <w:color w:val="auto"/>
                <w:kern w:val="0"/>
                <w:sz w:val="24"/>
              </w:rPr>
              <w:t>练习</w:t>
            </w:r>
          </w:p>
        </w:tc>
      </w:tr>
      <w:tr>
        <w:tblPrEx>
          <w:tblLayout w:type="fixed"/>
          <w:tblCellMar>
            <w:top w:w="0" w:type="dxa"/>
            <w:left w:w="108" w:type="dxa"/>
            <w:bottom w:w="0" w:type="dxa"/>
            <w:right w:w="108" w:type="dxa"/>
          </w:tblCellMar>
        </w:tblPrEx>
        <w:trPr>
          <w:trHeight w:val="42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13</w:t>
            </w:r>
          </w:p>
        </w:tc>
        <w:tc>
          <w:tcPr>
            <w:tcW w:w="1058" w:type="dxa"/>
            <w:tcBorders>
              <w:top w:val="nil"/>
              <w:left w:val="nil"/>
              <w:bottom w:val="single" w:color="auto" w:sz="4" w:space="0"/>
              <w:right w:val="single" w:color="auto" w:sz="4" w:space="0"/>
            </w:tcBorders>
            <w:shd w:val="clear" w:color="000000" w:fill="FFFFFF"/>
            <w:vAlign w:val="center"/>
          </w:tcPr>
          <w:p>
            <w:pPr>
              <w:jc w:val="center"/>
              <w:rPr>
                <w:rFonts w:hint="eastAsia"/>
                <w:color w:val="auto"/>
                <w:sz w:val="22"/>
                <w:szCs w:val="22"/>
              </w:rPr>
            </w:pPr>
            <w:r>
              <w:rPr>
                <w:rFonts w:hint="eastAsia"/>
                <w:color w:val="auto"/>
                <w:sz w:val="22"/>
                <w:szCs w:val="22"/>
              </w:rPr>
              <w:t>陈  洁</w:t>
            </w:r>
          </w:p>
        </w:tc>
        <w:tc>
          <w:tcPr>
            <w:tcW w:w="1069" w:type="dxa"/>
            <w:tcBorders>
              <w:top w:val="nil"/>
              <w:left w:val="nil"/>
              <w:bottom w:val="single" w:color="auto" w:sz="4" w:space="0"/>
              <w:right w:val="single" w:color="auto" w:sz="4" w:space="0"/>
            </w:tcBorders>
            <w:shd w:val="clear" w:color="000000" w:fill="FFFFFF"/>
            <w:vAlign w:val="center"/>
          </w:tcPr>
          <w:p>
            <w:pPr>
              <w:jc w:val="center"/>
              <w:rPr>
                <w:rFonts w:hint="eastAsia"/>
                <w:color w:val="auto"/>
                <w:sz w:val="22"/>
                <w:szCs w:val="22"/>
              </w:rPr>
            </w:pPr>
            <w:r>
              <w:rPr>
                <w:rFonts w:hint="eastAsia"/>
                <w:color w:val="auto"/>
                <w:sz w:val="22"/>
                <w:szCs w:val="22"/>
              </w:rPr>
              <w:t>30</w:t>
            </w:r>
          </w:p>
        </w:tc>
        <w:tc>
          <w:tcPr>
            <w:tcW w:w="1984" w:type="dxa"/>
            <w:tcBorders>
              <w:top w:val="nil"/>
              <w:left w:val="nil"/>
              <w:bottom w:val="single" w:color="auto" w:sz="4" w:space="0"/>
              <w:right w:val="single" w:color="auto" w:sz="4" w:space="0"/>
            </w:tcBorders>
            <w:shd w:val="clear" w:color="000000" w:fill="FFFFFF"/>
            <w:vAlign w:val="center"/>
          </w:tcPr>
          <w:p>
            <w:pPr>
              <w:jc w:val="center"/>
              <w:rPr>
                <w:rFonts w:hint="eastAsia"/>
                <w:color w:val="auto"/>
                <w:sz w:val="22"/>
                <w:szCs w:val="22"/>
              </w:rPr>
            </w:pPr>
            <w:r>
              <w:rPr>
                <w:rFonts w:hint="eastAsia"/>
                <w:color w:val="auto"/>
                <w:sz w:val="22"/>
                <w:szCs w:val="22"/>
              </w:rPr>
              <w:t>E-ZONE英语社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英语</w:t>
            </w:r>
            <w:r>
              <w:rPr>
                <w:rFonts w:ascii="仿宋" w:hAnsi="仿宋" w:eastAsia="仿宋" w:cs="宋体"/>
                <w:color w:val="auto"/>
                <w:kern w:val="0"/>
                <w:sz w:val="24"/>
              </w:rPr>
              <w:t>口语强化、写作水平提升</w:t>
            </w:r>
          </w:p>
        </w:tc>
      </w:tr>
      <w:tr>
        <w:tblPrEx>
          <w:tblLayout w:type="fixed"/>
          <w:tblCellMar>
            <w:top w:w="0" w:type="dxa"/>
            <w:left w:w="108" w:type="dxa"/>
            <w:bottom w:w="0" w:type="dxa"/>
            <w:right w:w="108" w:type="dxa"/>
          </w:tblCellMar>
        </w:tblPrEx>
        <w:trPr>
          <w:trHeight w:val="42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14</w:t>
            </w:r>
          </w:p>
        </w:tc>
        <w:tc>
          <w:tcPr>
            <w:tcW w:w="1058" w:type="dxa"/>
            <w:tcBorders>
              <w:top w:val="nil"/>
              <w:left w:val="nil"/>
              <w:bottom w:val="single" w:color="auto" w:sz="4" w:space="0"/>
              <w:right w:val="single" w:color="auto" w:sz="4" w:space="0"/>
            </w:tcBorders>
            <w:shd w:val="clear" w:color="000000" w:fill="FFFFFF"/>
            <w:vAlign w:val="center"/>
          </w:tcPr>
          <w:p>
            <w:pPr>
              <w:jc w:val="center"/>
              <w:rPr>
                <w:rFonts w:hint="eastAsia"/>
                <w:color w:val="auto"/>
                <w:sz w:val="22"/>
                <w:szCs w:val="22"/>
              </w:rPr>
            </w:pPr>
            <w:r>
              <w:rPr>
                <w:rFonts w:hint="eastAsia"/>
                <w:color w:val="auto"/>
                <w:sz w:val="22"/>
                <w:szCs w:val="22"/>
              </w:rPr>
              <w:t>付远清</w:t>
            </w:r>
          </w:p>
        </w:tc>
        <w:tc>
          <w:tcPr>
            <w:tcW w:w="1069" w:type="dxa"/>
            <w:tcBorders>
              <w:top w:val="nil"/>
              <w:left w:val="nil"/>
              <w:bottom w:val="single" w:color="auto" w:sz="4" w:space="0"/>
              <w:right w:val="single" w:color="auto" w:sz="4" w:space="0"/>
            </w:tcBorders>
            <w:shd w:val="clear" w:color="000000" w:fill="FFFFFF"/>
            <w:vAlign w:val="center"/>
          </w:tcPr>
          <w:p>
            <w:pPr>
              <w:jc w:val="center"/>
              <w:rPr>
                <w:rFonts w:hint="eastAsia"/>
                <w:color w:val="auto"/>
                <w:sz w:val="22"/>
                <w:szCs w:val="22"/>
              </w:rPr>
            </w:pPr>
            <w:r>
              <w:rPr>
                <w:rFonts w:hint="eastAsia"/>
                <w:color w:val="auto"/>
                <w:sz w:val="22"/>
                <w:szCs w:val="22"/>
              </w:rPr>
              <w:t>50</w:t>
            </w:r>
          </w:p>
        </w:tc>
        <w:tc>
          <w:tcPr>
            <w:tcW w:w="1984" w:type="dxa"/>
            <w:tcBorders>
              <w:top w:val="nil"/>
              <w:left w:val="nil"/>
              <w:bottom w:val="single" w:color="auto" w:sz="4" w:space="0"/>
              <w:right w:val="single" w:color="auto" w:sz="4" w:space="0"/>
            </w:tcBorders>
            <w:shd w:val="clear" w:color="000000" w:fill="FFFFFF"/>
            <w:vAlign w:val="center"/>
          </w:tcPr>
          <w:p>
            <w:pPr>
              <w:jc w:val="center"/>
              <w:rPr>
                <w:rFonts w:hint="eastAsia"/>
                <w:color w:val="auto"/>
                <w:sz w:val="22"/>
                <w:szCs w:val="22"/>
              </w:rPr>
            </w:pPr>
            <w:r>
              <w:rPr>
                <w:rFonts w:hint="eastAsia"/>
                <w:color w:val="auto"/>
                <w:sz w:val="22"/>
                <w:szCs w:val="22"/>
              </w:rPr>
              <w:t>逐潮文学社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文学欣赏、中外名著赏析、负责校刊《逐潮》的撰写工作等</w:t>
            </w:r>
          </w:p>
        </w:tc>
      </w:tr>
      <w:tr>
        <w:tblPrEx>
          <w:tblLayout w:type="fixed"/>
          <w:tblCellMar>
            <w:top w:w="0" w:type="dxa"/>
            <w:left w:w="108" w:type="dxa"/>
            <w:bottom w:w="0" w:type="dxa"/>
            <w:right w:w="108" w:type="dxa"/>
          </w:tblCellMar>
        </w:tblPrEx>
        <w:trPr>
          <w:trHeight w:val="43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15</w:t>
            </w:r>
          </w:p>
        </w:tc>
        <w:tc>
          <w:tcPr>
            <w:tcW w:w="1058" w:type="dxa"/>
            <w:tcBorders>
              <w:top w:val="nil"/>
              <w:left w:val="nil"/>
              <w:bottom w:val="single" w:color="auto" w:sz="4" w:space="0"/>
              <w:right w:val="single" w:color="auto" w:sz="4" w:space="0"/>
            </w:tcBorders>
            <w:shd w:val="clear" w:color="000000" w:fill="FFFFFF"/>
            <w:vAlign w:val="center"/>
          </w:tcPr>
          <w:p>
            <w:pPr>
              <w:jc w:val="center"/>
              <w:rPr>
                <w:rFonts w:hint="eastAsia"/>
                <w:color w:val="auto"/>
                <w:sz w:val="22"/>
                <w:szCs w:val="22"/>
              </w:rPr>
            </w:pPr>
            <w:r>
              <w:rPr>
                <w:rFonts w:hint="eastAsia"/>
                <w:color w:val="auto"/>
                <w:sz w:val="22"/>
                <w:szCs w:val="22"/>
              </w:rPr>
              <w:t>王  涛</w:t>
            </w:r>
          </w:p>
        </w:tc>
        <w:tc>
          <w:tcPr>
            <w:tcW w:w="1069" w:type="dxa"/>
            <w:tcBorders>
              <w:top w:val="nil"/>
              <w:left w:val="nil"/>
              <w:bottom w:val="single" w:color="auto" w:sz="4" w:space="0"/>
              <w:right w:val="single" w:color="auto" w:sz="4" w:space="0"/>
            </w:tcBorders>
            <w:shd w:val="clear" w:color="000000" w:fill="FFFFFF"/>
            <w:vAlign w:val="center"/>
          </w:tcPr>
          <w:p>
            <w:pPr>
              <w:jc w:val="center"/>
              <w:rPr>
                <w:rFonts w:hint="eastAsia"/>
                <w:color w:val="auto"/>
                <w:sz w:val="22"/>
                <w:szCs w:val="22"/>
              </w:rPr>
            </w:pPr>
            <w:r>
              <w:rPr>
                <w:rFonts w:hint="eastAsia"/>
                <w:color w:val="auto"/>
                <w:sz w:val="22"/>
                <w:szCs w:val="22"/>
              </w:rPr>
              <w:t>40</w:t>
            </w:r>
          </w:p>
        </w:tc>
        <w:tc>
          <w:tcPr>
            <w:tcW w:w="1984" w:type="dxa"/>
            <w:tcBorders>
              <w:top w:val="nil"/>
              <w:left w:val="nil"/>
              <w:bottom w:val="single" w:color="auto" w:sz="4" w:space="0"/>
              <w:right w:val="single" w:color="auto" w:sz="4" w:space="0"/>
            </w:tcBorders>
            <w:shd w:val="clear" w:color="000000" w:fill="FFFFFF"/>
            <w:vAlign w:val="center"/>
          </w:tcPr>
          <w:p>
            <w:pPr>
              <w:jc w:val="center"/>
              <w:rPr>
                <w:rFonts w:hint="eastAsia"/>
                <w:color w:val="auto"/>
                <w:sz w:val="22"/>
                <w:szCs w:val="22"/>
              </w:rPr>
            </w:pPr>
            <w:r>
              <w:rPr>
                <w:rFonts w:hint="eastAsia"/>
                <w:color w:val="auto"/>
                <w:sz w:val="22"/>
                <w:szCs w:val="22"/>
              </w:rPr>
              <w:t>风之翼轮滑社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了解轮滑知识、提高轮滑水平、竞技和表演</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16</w:t>
            </w:r>
          </w:p>
        </w:tc>
        <w:tc>
          <w:tcPr>
            <w:tcW w:w="1058" w:type="dxa"/>
            <w:tcBorders>
              <w:top w:val="nil"/>
              <w:left w:val="nil"/>
              <w:bottom w:val="single" w:color="auto" w:sz="4" w:space="0"/>
              <w:right w:val="single" w:color="auto" w:sz="4" w:space="0"/>
            </w:tcBorders>
            <w:shd w:val="clear" w:color="000000" w:fill="FFFFFF"/>
            <w:vAlign w:val="center"/>
          </w:tcPr>
          <w:p>
            <w:pPr>
              <w:jc w:val="center"/>
              <w:rPr>
                <w:rFonts w:hint="eastAsia"/>
                <w:color w:val="auto"/>
                <w:sz w:val="22"/>
                <w:szCs w:val="22"/>
              </w:rPr>
            </w:pPr>
            <w:r>
              <w:rPr>
                <w:rFonts w:hint="eastAsia"/>
                <w:color w:val="auto"/>
                <w:sz w:val="22"/>
                <w:szCs w:val="22"/>
              </w:rPr>
              <w:t>唐  倩</w:t>
            </w:r>
          </w:p>
        </w:tc>
        <w:tc>
          <w:tcPr>
            <w:tcW w:w="1069" w:type="dxa"/>
            <w:tcBorders>
              <w:top w:val="nil"/>
              <w:left w:val="nil"/>
              <w:bottom w:val="single" w:color="auto" w:sz="4" w:space="0"/>
              <w:right w:val="single" w:color="auto" w:sz="4" w:space="0"/>
            </w:tcBorders>
            <w:shd w:val="clear" w:color="000000" w:fill="FFFFFF"/>
            <w:vAlign w:val="center"/>
          </w:tcPr>
          <w:p>
            <w:pPr>
              <w:jc w:val="center"/>
              <w:rPr>
                <w:rFonts w:hint="eastAsia"/>
                <w:color w:val="auto"/>
                <w:sz w:val="22"/>
                <w:szCs w:val="22"/>
              </w:rPr>
            </w:pPr>
            <w:r>
              <w:rPr>
                <w:rFonts w:hint="eastAsia"/>
                <w:color w:val="auto"/>
                <w:sz w:val="22"/>
                <w:szCs w:val="22"/>
              </w:rPr>
              <w:t>50</w:t>
            </w:r>
          </w:p>
        </w:tc>
        <w:tc>
          <w:tcPr>
            <w:tcW w:w="1984" w:type="dxa"/>
            <w:tcBorders>
              <w:top w:val="nil"/>
              <w:left w:val="nil"/>
              <w:bottom w:val="single" w:color="auto" w:sz="4" w:space="0"/>
              <w:right w:val="single" w:color="auto" w:sz="4" w:space="0"/>
            </w:tcBorders>
            <w:shd w:val="clear" w:color="000000" w:fill="FFFFFF"/>
            <w:vAlign w:val="center"/>
          </w:tcPr>
          <w:p>
            <w:pPr>
              <w:jc w:val="center"/>
              <w:rPr>
                <w:rFonts w:hint="eastAsia"/>
                <w:color w:val="auto"/>
                <w:sz w:val="22"/>
                <w:szCs w:val="22"/>
              </w:rPr>
            </w:pPr>
            <w:r>
              <w:rPr>
                <w:rFonts w:hint="eastAsia"/>
                <w:color w:val="auto"/>
                <w:sz w:val="22"/>
                <w:szCs w:val="22"/>
              </w:rPr>
              <w:t>画心美术社</w:t>
            </w:r>
          </w:p>
        </w:tc>
        <w:tc>
          <w:tcPr>
            <w:tcW w:w="49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提升画画、素描水平等</w:t>
            </w:r>
          </w:p>
        </w:tc>
      </w:tr>
      <w:tr>
        <w:tblPrEx>
          <w:tblLayout w:type="fixed"/>
          <w:tblCellMar>
            <w:top w:w="0" w:type="dxa"/>
            <w:left w:w="108" w:type="dxa"/>
            <w:bottom w:w="0" w:type="dxa"/>
            <w:right w:w="108" w:type="dxa"/>
          </w:tblCellMar>
        </w:tblPrEx>
        <w:trPr>
          <w:trHeight w:val="405" w:hRule="atLeast"/>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17</w:t>
            </w:r>
          </w:p>
        </w:tc>
        <w:tc>
          <w:tcPr>
            <w:tcW w:w="1058"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color w:val="auto"/>
                <w:sz w:val="22"/>
                <w:szCs w:val="22"/>
              </w:rPr>
            </w:pPr>
            <w:r>
              <w:rPr>
                <w:rFonts w:hint="eastAsia"/>
                <w:color w:val="auto"/>
                <w:sz w:val="22"/>
                <w:szCs w:val="22"/>
              </w:rPr>
              <w:t>桂  赟</w:t>
            </w:r>
          </w:p>
        </w:tc>
        <w:tc>
          <w:tcPr>
            <w:tcW w:w="1069"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color w:val="auto"/>
                <w:sz w:val="22"/>
                <w:szCs w:val="22"/>
              </w:rPr>
            </w:pPr>
            <w:r>
              <w:rPr>
                <w:rFonts w:hint="eastAsia"/>
                <w:color w:val="auto"/>
                <w:sz w:val="22"/>
                <w:szCs w:val="22"/>
              </w:rPr>
              <w:t>30</w:t>
            </w:r>
          </w:p>
        </w:tc>
        <w:tc>
          <w:tcPr>
            <w:tcW w:w="1984"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color w:val="auto"/>
                <w:sz w:val="22"/>
                <w:szCs w:val="22"/>
              </w:rPr>
            </w:pPr>
            <w:r>
              <w:rPr>
                <w:rFonts w:hint="eastAsia"/>
                <w:color w:val="auto"/>
                <w:sz w:val="22"/>
                <w:szCs w:val="22"/>
              </w:rPr>
              <w:t>就医</w:t>
            </w:r>
            <w:r>
              <w:rPr>
                <w:color w:val="auto"/>
                <w:sz w:val="22"/>
                <w:szCs w:val="22"/>
              </w:rPr>
              <w:t>帮帮团</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医院</w:t>
            </w:r>
            <w:r>
              <w:rPr>
                <w:rFonts w:ascii="仿宋" w:hAnsi="仿宋" w:eastAsia="仿宋" w:cs="宋体"/>
                <w:color w:val="auto"/>
                <w:kern w:val="0"/>
                <w:sz w:val="24"/>
              </w:rPr>
              <w:t>就医导诊、满意度调查等</w:t>
            </w:r>
          </w:p>
        </w:tc>
      </w:tr>
    </w:tbl>
    <w:p>
      <w:pPr>
        <w:pStyle w:val="3"/>
        <w:keepNext w:val="0"/>
        <w:keepLines w:val="0"/>
        <w:adjustRightInd w:val="0"/>
        <w:snapToGrid w:val="0"/>
        <w:spacing w:before="156" w:beforeLines="50" w:line="360" w:lineRule="auto"/>
        <w:ind w:firstLine="482" w:firstLineChars="200"/>
        <w:rPr>
          <w:rFonts w:ascii="黑体" w:hAnsi="黑体"/>
          <w:color w:val="auto"/>
          <w:sz w:val="24"/>
        </w:rPr>
      </w:pPr>
      <w:bookmarkStart w:id="62" w:name="_Toc471905941"/>
      <w:r>
        <w:rPr>
          <w:rFonts w:hint="eastAsia" w:ascii="黑体" w:hAnsi="黑体"/>
          <w:color w:val="auto"/>
          <w:sz w:val="24"/>
        </w:rPr>
        <w:t>3.5.5团组织、学生会建设及活动</w:t>
      </w:r>
      <w:bookmarkEnd w:id="62"/>
    </w:p>
    <w:p>
      <w:pPr>
        <w:pStyle w:val="3"/>
        <w:keepNext w:val="0"/>
        <w:keepLines w:val="0"/>
        <w:adjustRightInd w:val="0"/>
        <w:snapToGrid w:val="0"/>
        <w:spacing w:line="360" w:lineRule="auto"/>
        <w:ind w:firstLine="361" w:firstLineChars="150"/>
        <w:rPr>
          <w:rFonts w:ascii="新宋体" w:hAnsi="新宋体" w:eastAsia="新宋体"/>
          <w:color w:val="auto"/>
          <w:sz w:val="24"/>
        </w:rPr>
      </w:pPr>
      <w:bookmarkStart w:id="63" w:name="_Toc471905942"/>
      <w:bookmarkStart w:id="64" w:name="_Toc471905465"/>
      <w:r>
        <w:rPr>
          <w:rFonts w:hint="eastAsia" w:ascii="新宋体" w:hAnsi="新宋体" w:eastAsia="新宋体"/>
          <w:color w:val="auto"/>
          <w:sz w:val="24"/>
        </w:rPr>
        <w:t>（1）团组织建设及活动</w:t>
      </w:r>
      <w:bookmarkEnd w:id="63"/>
      <w:bookmarkEnd w:id="64"/>
      <w:r>
        <w:rPr>
          <w:rFonts w:hint="eastAsia" w:ascii="新宋体" w:hAnsi="新宋体" w:eastAsia="新宋体"/>
          <w:color w:val="auto"/>
          <w:sz w:val="24"/>
        </w:rPr>
        <w:t xml:space="preserve"> </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1"/>
        <w:rPr>
          <w:rFonts w:asciiTheme="minorEastAsia" w:hAnsiTheme="minorEastAsia" w:eastAsiaTheme="minorEastAsia"/>
          <w:b w:val="0"/>
          <w:bCs/>
          <w:color w:val="auto"/>
          <w:sz w:val="24"/>
        </w:rPr>
      </w:pPr>
      <w:bookmarkStart w:id="65" w:name="_Toc471905943"/>
      <w:bookmarkStart w:id="66" w:name="_Toc471905466"/>
      <w:r>
        <w:rPr>
          <w:rFonts w:hint="eastAsia" w:asciiTheme="minorEastAsia" w:hAnsiTheme="minorEastAsia" w:eastAsiaTheme="minorEastAsia"/>
          <w:b w:val="0"/>
          <w:color w:val="auto"/>
          <w:sz w:val="24"/>
        </w:rPr>
        <w:t>校团委在校党支部和上级团组织领导下，</w:t>
      </w:r>
      <w:r>
        <w:rPr>
          <w:rFonts w:asciiTheme="minorEastAsia" w:hAnsiTheme="minorEastAsia" w:eastAsiaTheme="minorEastAsia"/>
          <w:b w:val="0"/>
          <w:color w:val="auto"/>
          <w:sz w:val="24"/>
        </w:rPr>
        <w:t>重视</w:t>
      </w:r>
      <w:r>
        <w:rPr>
          <w:rFonts w:hint="eastAsia" w:asciiTheme="minorEastAsia" w:hAnsiTheme="minorEastAsia" w:eastAsiaTheme="minorEastAsia"/>
          <w:b w:val="0"/>
          <w:bCs/>
          <w:color w:val="auto"/>
          <w:sz w:val="24"/>
        </w:rPr>
        <w:t>团员</w:t>
      </w:r>
      <w:r>
        <w:rPr>
          <w:rFonts w:asciiTheme="minorEastAsia" w:hAnsiTheme="minorEastAsia" w:eastAsiaTheme="minorEastAsia"/>
          <w:b w:val="0"/>
          <w:bCs/>
          <w:color w:val="auto"/>
          <w:sz w:val="24"/>
        </w:rPr>
        <w:t>青年素质教育</w:t>
      </w:r>
      <w:r>
        <w:rPr>
          <w:rFonts w:hint="eastAsia" w:asciiTheme="minorEastAsia" w:hAnsiTheme="minorEastAsia" w:eastAsiaTheme="minorEastAsia"/>
          <w:b w:val="0"/>
          <w:bCs/>
          <w:color w:val="auto"/>
          <w:sz w:val="24"/>
        </w:rPr>
        <w:t>，以团校、党校为依托，积极开展党团理论的学习教育，提高广大青年团员的意识。截止201</w:t>
      </w:r>
      <w:r>
        <w:rPr>
          <w:rFonts w:asciiTheme="minorEastAsia" w:hAnsiTheme="minorEastAsia" w:eastAsiaTheme="minorEastAsia"/>
          <w:b w:val="0"/>
          <w:bCs/>
          <w:color w:val="auto"/>
          <w:sz w:val="24"/>
        </w:rPr>
        <w:t>7</w:t>
      </w:r>
      <w:r>
        <w:rPr>
          <w:rFonts w:hint="eastAsia" w:asciiTheme="minorEastAsia" w:hAnsiTheme="minorEastAsia" w:eastAsiaTheme="minorEastAsia"/>
          <w:b w:val="0"/>
          <w:bCs/>
          <w:color w:val="auto"/>
          <w:sz w:val="24"/>
        </w:rPr>
        <w:t>年底</w:t>
      </w:r>
      <w:r>
        <w:rPr>
          <w:rFonts w:asciiTheme="minorEastAsia" w:hAnsiTheme="minorEastAsia" w:eastAsiaTheme="minorEastAsia"/>
          <w:b w:val="0"/>
          <w:bCs/>
          <w:color w:val="auto"/>
          <w:sz w:val="24"/>
        </w:rPr>
        <w:t>，我校共有团员1989</w:t>
      </w:r>
      <w:r>
        <w:rPr>
          <w:rFonts w:hint="eastAsia" w:asciiTheme="minorEastAsia" w:hAnsiTheme="minorEastAsia" w:eastAsiaTheme="minorEastAsia"/>
          <w:b w:val="0"/>
          <w:bCs/>
          <w:color w:val="auto"/>
          <w:sz w:val="24"/>
        </w:rPr>
        <w:t>人，发展团员23</w:t>
      </w:r>
      <w:r>
        <w:rPr>
          <w:rFonts w:asciiTheme="minorEastAsia" w:hAnsiTheme="minorEastAsia" w:eastAsiaTheme="minorEastAsia"/>
          <w:b w:val="0"/>
          <w:bCs/>
          <w:color w:val="auto"/>
          <w:sz w:val="24"/>
        </w:rPr>
        <w:t>7</w:t>
      </w:r>
      <w:r>
        <w:rPr>
          <w:rFonts w:hint="eastAsia" w:asciiTheme="minorEastAsia" w:hAnsiTheme="minorEastAsia" w:eastAsiaTheme="minorEastAsia"/>
          <w:b w:val="0"/>
          <w:bCs/>
          <w:color w:val="auto"/>
          <w:sz w:val="24"/>
        </w:rPr>
        <w:t>人，团青</w:t>
      </w:r>
      <w:r>
        <w:rPr>
          <w:rFonts w:asciiTheme="minorEastAsia" w:hAnsiTheme="minorEastAsia" w:eastAsiaTheme="minorEastAsia"/>
          <w:b w:val="0"/>
          <w:bCs/>
          <w:color w:val="auto"/>
          <w:sz w:val="24"/>
        </w:rPr>
        <w:t>比例</w:t>
      </w:r>
      <w:r>
        <w:rPr>
          <w:rFonts w:hint="eastAsia" w:asciiTheme="minorEastAsia" w:hAnsiTheme="minorEastAsia" w:eastAsiaTheme="minorEastAsia"/>
          <w:b w:val="0"/>
          <w:bCs/>
          <w:color w:val="auto"/>
          <w:sz w:val="24"/>
        </w:rPr>
        <w:t>67.7</w:t>
      </w:r>
      <w:r>
        <w:rPr>
          <w:rFonts w:asciiTheme="minorEastAsia" w:hAnsiTheme="minorEastAsia" w:eastAsiaTheme="minorEastAsia"/>
          <w:b w:val="0"/>
          <w:bCs/>
          <w:color w:val="auto"/>
          <w:sz w:val="24"/>
        </w:rPr>
        <w:t>%。</w:t>
      </w:r>
      <w:r>
        <w:rPr>
          <w:rFonts w:hint="eastAsia" w:asciiTheme="minorEastAsia" w:hAnsiTheme="minorEastAsia" w:eastAsiaTheme="minorEastAsia"/>
          <w:b w:val="0"/>
          <w:bCs/>
          <w:color w:val="auto"/>
          <w:sz w:val="24"/>
        </w:rPr>
        <w:t>规范</w:t>
      </w:r>
      <w:r>
        <w:rPr>
          <w:rFonts w:hint="eastAsia" w:asciiTheme="minorEastAsia" w:hAnsiTheme="minorEastAsia" w:eastAsiaTheme="minorEastAsia"/>
          <w:b w:val="0"/>
          <w:color w:val="auto"/>
          <w:sz w:val="24"/>
          <w:szCs w:val="28"/>
        </w:rPr>
        <w:t>建立团支部电子档案和团员电子档案，团费收缴和团籍注册达100%。</w:t>
      </w:r>
      <w:r>
        <w:rPr>
          <w:rFonts w:hint="eastAsia" w:asciiTheme="minorEastAsia" w:hAnsiTheme="minorEastAsia" w:eastAsiaTheme="minorEastAsia"/>
          <w:b w:val="0"/>
          <w:bCs/>
          <w:color w:val="auto"/>
          <w:sz w:val="24"/>
        </w:rPr>
        <w:t>全年共有</w:t>
      </w:r>
      <w:r>
        <w:rPr>
          <w:rFonts w:asciiTheme="minorEastAsia" w:hAnsiTheme="minorEastAsia" w:eastAsiaTheme="minorEastAsia"/>
          <w:b w:val="0"/>
          <w:bCs/>
          <w:color w:val="auto"/>
          <w:sz w:val="24"/>
        </w:rPr>
        <w:t>225</w:t>
      </w:r>
      <w:r>
        <w:rPr>
          <w:rFonts w:hint="eastAsia" w:asciiTheme="minorEastAsia" w:hAnsiTheme="minorEastAsia" w:eastAsiaTheme="minorEastAsia"/>
          <w:b w:val="0"/>
          <w:bCs/>
          <w:color w:val="auto"/>
          <w:sz w:val="24"/>
        </w:rPr>
        <w:t>人次向党组织递交入党申请书，通过考察向党组织推荐3</w:t>
      </w:r>
      <w:r>
        <w:rPr>
          <w:rFonts w:asciiTheme="minorEastAsia" w:hAnsiTheme="minorEastAsia" w:eastAsiaTheme="minorEastAsia"/>
          <w:b w:val="0"/>
          <w:bCs/>
          <w:color w:val="auto"/>
          <w:sz w:val="24"/>
        </w:rPr>
        <w:t>8</w:t>
      </w:r>
      <w:r>
        <w:rPr>
          <w:rFonts w:hint="eastAsia" w:asciiTheme="minorEastAsia" w:hAnsiTheme="minorEastAsia" w:eastAsiaTheme="minorEastAsia"/>
          <w:b w:val="0"/>
          <w:bCs/>
          <w:color w:val="auto"/>
          <w:sz w:val="24"/>
        </w:rPr>
        <w:t>名优秀学生作为入党积极分子培养对象。</w:t>
      </w:r>
      <w:bookmarkEnd w:id="65"/>
      <w:bookmarkEnd w:id="66"/>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1"/>
        <w:rPr>
          <w:rFonts w:ascii="新宋体" w:hAnsi="新宋体" w:eastAsia="新宋体"/>
          <w:b w:val="0"/>
          <w:color w:val="auto"/>
          <w:sz w:val="24"/>
        </w:rPr>
      </w:pPr>
      <w:r>
        <w:rPr>
          <w:rFonts w:hint="eastAsia" w:ascii="新宋体" w:hAnsi="新宋体" w:eastAsia="新宋体"/>
          <w:b w:val="0"/>
          <w:color w:val="auto"/>
          <w:sz w:val="24"/>
        </w:rPr>
        <w:t>201</w:t>
      </w:r>
      <w:r>
        <w:rPr>
          <w:rFonts w:ascii="新宋体" w:hAnsi="新宋体" w:eastAsia="新宋体"/>
          <w:b w:val="0"/>
          <w:color w:val="auto"/>
          <w:sz w:val="24"/>
        </w:rPr>
        <w:t>7</w:t>
      </w:r>
      <w:r>
        <w:rPr>
          <w:rFonts w:hint="eastAsia" w:ascii="新宋体" w:hAnsi="新宋体" w:eastAsia="新宋体"/>
          <w:b w:val="0"/>
          <w:color w:val="auto"/>
          <w:sz w:val="24"/>
        </w:rPr>
        <w:t>年度，团组织活动以党的十九大精神和习近平</w:t>
      </w:r>
      <w:r>
        <w:rPr>
          <w:rFonts w:ascii="新宋体" w:hAnsi="新宋体" w:eastAsia="新宋体"/>
          <w:b w:val="0"/>
          <w:color w:val="auto"/>
          <w:sz w:val="24"/>
        </w:rPr>
        <w:t>总书记重要系列讲话</w:t>
      </w:r>
      <w:r>
        <w:rPr>
          <w:rFonts w:hint="eastAsia" w:ascii="新宋体" w:hAnsi="新宋体" w:eastAsia="新宋体"/>
          <w:b w:val="0"/>
          <w:color w:val="auto"/>
          <w:sz w:val="24"/>
        </w:rPr>
        <w:t>为引领，以社会主义</w:t>
      </w:r>
      <w:r>
        <w:rPr>
          <w:rFonts w:ascii="新宋体" w:hAnsi="新宋体" w:eastAsia="新宋体"/>
          <w:b w:val="0"/>
          <w:color w:val="auto"/>
          <w:sz w:val="24"/>
        </w:rPr>
        <w:t>核心价值观</w:t>
      </w:r>
      <w:r>
        <w:rPr>
          <w:rFonts w:hint="eastAsia" w:ascii="新宋体" w:hAnsi="新宋体" w:eastAsia="新宋体"/>
          <w:b w:val="0"/>
          <w:color w:val="auto"/>
          <w:sz w:val="24"/>
        </w:rPr>
        <w:t>培育为中心，围绕学校天使育人，以一系列主题教育和</w:t>
      </w:r>
      <w:r>
        <w:rPr>
          <w:rFonts w:ascii="新宋体" w:hAnsi="新宋体" w:eastAsia="新宋体"/>
          <w:b w:val="0"/>
          <w:color w:val="auto"/>
          <w:sz w:val="24"/>
        </w:rPr>
        <w:t>公益</w:t>
      </w:r>
      <w:r>
        <w:rPr>
          <w:rFonts w:hint="eastAsia" w:ascii="新宋体" w:hAnsi="新宋体" w:eastAsia="新宋体"/>
          <w:b w:val="0"/>
          <w:color w:val="auto"/>
          <w:sz w:val="24"/>
        </w:rPr>
        <w:t>活动为抓手，展现团员先进榜样，营造浓厚天使文化氛围，推进全体学生向上、向善、向美，为培育优秀“海卫天使”助力。</w:t>
      </w:r>
    </w:p>
    <w:p>
      <w:pPr>
        <w:pStyle w:val="3"/>
        <w:keepNext w:val="0"/>
        <w:keepLines w:val="0"/>
        <w:adjustRightInd w:val="0"/>
        <w:snapToGrid w:val="0"/>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表12：201</w:t>
      </w:r>
      <w:r>
        <w:rPr>
          <w:rFonts w:cs="宋体" w:asciiTheme="minorEastAsia" w:hAnsiTheme="minorEastAsia" w:eastAsiaTheme="minorEastAsia"/>
          <w:color w:val="auto"/>
          <w:kern w:val="0"/>
          <w:sz w:val="24"/>
        </w:rPr>
        <w:t>7</w:t>
      </w:r>
      <w:r>
        <w:rPr>
          <w:rFonts w:hint="eastAsia" w:cs="宋体" w:asciiTheme="minorEastAsia" w:hAnsiTheme="minorEastAsia" w:eastAsiaTheme="minorEastAsia"/>
          <w:color w:val="auto"/>
          <w:kern w:val="0"/>
          <w:sz w:val="24"/>
        </w:rPr>
        <w:t>年度学校</w:t>
      </w:r>
      <w:r>
        <w:rPr>
          <w:rFonts w:hint="eastAsia" w:asciiTheme="minorEastAsia" w:hAnsiTheme="minorEastAsia" w:eastAsiaTheme="minorEastAsia"/>
          <w:bCs/>
          <w:color w:val="auto"/>
          <w:sz w:val="24"/>
        </w:rPr>
        <w:t>团委</w:t>
      </w:r>
      <w:r>
        <w:rPr>
          <w:rFonts w:hint="eastAsia" w:cs="宋体" w:asciiTheme="minorEastAsia" w:hAnsiTheme="minorEastAsia" w:eastAsiaTheme="minorEastAsia"/>
          <w:bCs/>
          <w:color w:val="auto"/>
          <w:sz w:val="24"/>
        </w:rPr>
        <w:t>主要活动情况一览表</w:t>
      </w:r>
    </w:p>
    <w:tbl>
      <w:tblPr>
        <w:tblStyle w:val="14"/>
        <w:tblW w:w="9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701"/>
        <w:gridCol w:w="1701"/>
        <w:gridCol w:w="3969"/>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序号</w:t>
            </w:r>
          </w:p>
        </w:tc>
        <w:tc>
          <w:tcPr>
            <w:tcW w:w="1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日期</w:t>
            </w:r>
          </w:p>
        </w:tc>
        <w:tc>
          <w:tcPr>
            <w:tcW w:w="1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地点</w:t>
            </w:r>
          </w:p>
        </w:tc>
        <w:tc>
          <w:tcPr>
            <w:tcW w:w="3969"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活动主题</w:t>
            </w:r>
          </w:p>
        </w:tc>
        <w:tc>
          <w:tcPr>
            <w:tcW w:w="1657"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2017.2.13</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海卫校园</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义务</w:t>
            </w:r>
            <w:r>
              <w:rPr>
                <w:rFonts w:asciiTheme="minorEastAsia" w:hAnsiTheme="minorEastAsia" w:eastAsiaTheme="minorEastAsia"/>
                <w:bCs/>
                <w:color w:val="auto"/>
                <w:sz w:val="24"/>
                <w:szCs w:val="24"/>
              </w:rPr>
              <w:t>献血</w:t>
            </w:r>
          </w:p>
        </w:tc>
        <w:tc>
          <w:tcPr>
            <w:tcW w:w="1657"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志愿者</w:t>
            </w:r>
            <w:r>
              <w:rPr>
                <w:rFonts w:asciiTheme="minorEastAsia" w:hAnsiTheme="minorEastAsia" w:eastAsiaTheme="minorEastAsia"/>
                <w:bCs/>
                <w:color w:val="auto"/>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2017.3.1</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公共设施场所</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 xml:space="preserve">雷锋精神我传承，人人都是小雷锋 </w:t>
            </w:r>
          </w:p>
        </w:tc>
        <w:tc>
          <w:tcPr>
            <w:tcW w:w="1657" w:type="dxa"/>
            <w:vAlign w:val="center"/>
          </w:tcPr>
          <w:p>
            <w:pPr>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志愿者</w:t>
            </w:r>
            <w:r>
              <w:rPr>
                <w:rFonts w:asciiTheme="minorEastAsia" w:hAnsiTheme="minorEastAsia" w:eastAsiaTheme="minorEastAsia"/>
                <w:bCs/>
                <w:color w:val="auto"/>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2017.3.4</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李善兰公园</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以雷锋之名，发挥专业特长关爱他人</w:t>
            </w:r>
          </w:p>
        </w:tc>
        <w:tc>
          <w:tcPr>
            <w:tcW w:w="1657" w:type="dxa"/>
            <w:vAlign w:val="center"/>
          </w:tcPr>
          <w:p>
            <w:pPr>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志愿者</w:t>
            </w:r>
            <w:r>
              <w:rPr>
                <w:rFonts w:asciiTheme="minorEastAsia" w:hAnsiTheme="minorEastAsia" w:eastAsiaTheme="minorEastAsia"/>
                <w:bCs/>
                <w:color w:val="auto"/>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4</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2017.5.5</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学校及其附近</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不忘初心   青春出动业</w:t>
            </w:r>
          </w:p>
        </w:tc>
        <w:tc>
          <w:tcPr>
            <w:tcW w:w="1657" w:type="dxa"/>
            <w:vAlign w:val="center"/>
          </w:tcPr>
          <w:p>
            <w:pPr>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志愿者</w:t>
            </w:r>
            <w:r>
              <w:rPr>
                <w:rFonts w:asciiTheme="minorEastAsia" w:hAnsiTheme="minorEastAsia" w:eastAsiaTheme="minorEastAsia"/>
                <w:bCs/>
                <w:color w:val="auto"/>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5</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2017.5.14</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海宁盐官</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海卫志愿者助力追潮马拉松</w:t>
            </w:r>
          </w:p>
        </w:tc>
        <w:tc>
          <w:tcPr>
            <w:tcW w:w="1657" w:type="dxa"/>
            <w:vAlign w:val="center"/>
          </w:tcPr>
          <w:p>
            <w:pPr>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志愿者</w:t>
            </w:r>
            <w:r>
              <w:rPr>
                <w:rFonts w:asciiTheme="minorEastAsia" w:hAnsiTheme="minorEastAsia" w:eastAsiaTheme="minorEastAsia"/>
                <w:bCs/>
                <w:color w:val="auto"/>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6</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2017.8.27</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海宁卫校</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接过你的行囊,我们就是一家人</w:t>
            </w:r>
          </w:p>
        </w:tc>
        <w:tc>
          <w:tcPr>
            <w:tcW w:w="1657" w:type="dxa"/>
            <w:vAlign w:val="center"/>
          </w:tcPr>
          <w:p>
            <w:pPr>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志愿者</w:t>
            </w:r>
            <w:r>
              <w:rPr>
                <w:rFonts w:asciiTheme="minorEastAsia" w:hAnsiTheme="minorEastAsia" w:eastAsiaTheme="minorEastAsia"/>
                <w:bCs/>
                <w:color w:val="auto"/>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7</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2017.10.17-10.24</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校园周边</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文明在路上，服务在脚下</w:t>
            </w:r>
          </w:p>
        </w:tc>
        <w:tc>
          <w:tcPr>
            <w:tcW w:w="1657" w:type="dxa"/>
            <w:vAlign w:val="center"/>
          </w:tcPr>
          <w:p>
            <w:pPr>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志愿者</w:t>
            </w:r>
            <w:r>
              <w:rPr>
                <w:rFonts w:asciiTheme="minorEastAsia" w:hAnsiTheme="minorEastAsia" w:eastAsiaTheme="minorEastAsia"/>
                <w:bCs/>
                <w:color w:val="auto"/>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8</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2017.10.21</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海宁卫校</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万物有情，小心呵护</w:t>
            </w:r>
          </w:p>
        </w:tc>
        <w:tc>
          <w:tcPr>
            <w:tcW w:w="1657" w:type="dxa"/>
            <w:vAlign w:val="center"/>
          </w:tcPr>
          <w:p>
            <w:pPr>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志愿者</w:t>
            </w:r>
            <w:r>
              <w:rPr>
                <w:rFonts w:asciiTheme="minorEastAsia" w:hAnsiTheme="minorEastAsia" w:eastAsiaTheme="minorEastAsia"/>
                <w:bCs/>
                <w:color w:val="auto"/>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9</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2017.11.19</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人民医院</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帮助他人  快乐自己</w:t>
            </w:r>
          </w:p>
        </w:tc>
        <w:tc>
          <w:tcPr>
            <w:tcW w:w="1657" w:type="dxa"/>
            <w:vAlign w:val="center"/>
          </w:tcPr>
          <w:p>
            <w:pPr>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志愿者</w:t>
            </w:r>
            <w:r>
              <w:rPr>
                <w:rFonts w:asciiTheme="minorEastAsia" w:hAnsiTheme="minorEastAsia" w:eastAsiaTheme="minorEastAsia"/>
                <w:bCs/>
                <w:color w:val="auto"/>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10</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2017.11.16</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海宁卫校</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光荣啊，中国共青团</w:t>
            </w:r>
          </w:p>
        </w:tc>
        <w:tc>
          <w:tcPr>
            <w:tcW w:w="1657" w:type="dxa"/>
            <w:vAlign w:val="center"/>
          </w:tcPr>
          <w:p>
            <w:pPr>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志愿者</w:t>
            </w:r>
            <w:r>
              <w:rPr>
                <w:rFonts w:asciiTheme="minorEastAsia" w:hAnsiTheme="minorEastAsia" w:eastAsiaTheme="minorEastAsia"/>
                <w:bCs/>
                <w:color w:val="auto"/>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11</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2017.12.12</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海宁卫校</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青春心向党 迎接新征程</w:t>
            </w:r>
          </w:p>
        </w:tc>
        <w:tc>
          <w:tcPr>
            <w:tcW w:w="1657" w:type="dxa"/>
            <w:vAlign w:val="center"/>
          </w:tcPr>
          <w:p>
            <w:pPr>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志愿者</w:t>
            </w:r>
            <w:r>
              <w:rPr>
                <w:rFonts w:asciiTheme="minorEastAsia" w:hAnsiTheme="minorEastAsia" w:eastAsiaTheme="minorEastAsia"/>
                <w:bCs/>
                <w:color w:val="auto"/>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12</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2017.12.17</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敬老院</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爱心之旅</w:t>
            </w:r>
            <w:r>
              <w:rPr>
                <w:rFonts w:hint="eastAsia" w:asciiTheme="minorEastAsia" w:hAnsiTheme="minorEastAsia" w:eastAsiaTheme="minorEastAsia"/>
                <w:bCs/>
                <w:color w:val="auto"/>
                <w:sz w:val="24"/>
                <w:szCs w:val="24"/>
              </w:rPr>
              <w:t>，关爱老人</w:t>
            </w:r>
          </w:p>
        </w:tc>
        <w:tc>
          <w:tcPr>
            <w:tcW w:w="1657" w:type="dxa"/>
            <w:vAlign w:val="center"/>
          </w:tcPr>
          <w:p>
            <w:pPr>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志愿者</w:t>
            </w:r>
            <w:r>
              <w:rPr>
                <w:rFonts w:asciiTheme="minorEastAsia" w:hAnsiTheme="minorEastAsia" w:eastAsiaTheme="minorEastAsia"/>
                <w:bCs/>
                <w:color w:val="auto"/>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13</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2017.3.20</w:t>
            </w:r>
          </w:p>
        </w:tc>
        <w:tc>
          <w:tcPr>
            <w:tcW w:w="1701" w:type="dxa"/>
            <w:vAlign w:val="center"/>
          </w:tcPr>
          <w:p>
            <w:pPr>
              <w:pStyle w:val="5"/>
              <w:snapToGrid w:val="0"/>
              <w:jc w:val="center"/>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六楼报告厅</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寝室美德之和睦谦让</w:t>
            </w:r>
          </w:p>
        </w:tc>
        <w:tc>
          <w:tcPr>
            <w:tcW w:w="1657"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天使</w:t>
            </w:r>
            <w:r>
              <w:rPr>
                <w:rFonts w:asciiTheme="minorEastAsia" w:hAnsiTheme="minorEastAsia" w:eastAsiaTheme="minorEastAsia"/>
                <w:bCs/>
                <w:color w:val="auto"/>
                <w:sz w:val="24"/>
                <w:szCs w:val="24"/>
              </w:rPr>
              <w:t>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14</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2017.4.15</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六楼报告厅</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缅怀革命先烈，感恩幸福生活</w:t>
            </w:r>
          </w:p>
        </w:tc>
        <w:tc>
          <w:tcPr>
            <w:tcW w:w="1657"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天使</w:t>
            </w:r>
            <w:r>
              <w:rPr>
                <w:rFonts w:asciiTheme="minorEastAsia" w:hAnsiTheme="minorEastAsia" w:eastAsiaTheme="minorEastAsia"/>
                <w:bCs/>
                <w:color w:val="auto"/>
                <w:sz w:val="24"/>
                <w:szCs w:val="24"/>
              </w:rPr>
              <w:t>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15</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2017.5.13</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六楼报告厅</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争做合格团员</w:t>
            </w:r>
          </w:p>
        </w:tc>
        <w:tc>
          <w:tcPr>
            <w:tcW w:w="1657"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天使</w:t>
            </w:r>
            <w:r>
              <w:rPr>
                <w:rFonts w:asciiTheme="minorEastAsia" w:hAnsiTheme="minorEastAsia" w:eastAsiaTheme="minorEastAsia"/>
                <w:bCs/>
                <w:color w:val="auto"/>
                <w:sz w:val="24"/>
                <w:szCs w:val="24"/>
              </w:rPr>
              <w:t>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16</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2017.10.16</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六楼报告厅</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爱我中华</w:t>
            </w:r>
          </w:p>
        </w:tc>
        <w:tc>
          <w:tcPr>
            <w:tcW w:w="1657"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天使</w:t>
            </w:r>
            <w:r>
              <w:rPr>
                <w:rFonts w:asciiTheme="minorEastAsia" w:hAnsiTheme="minorEastAsia" w:eastAsiaTheme="minorEastAsia"/>
                <w:bCs/>
                <w:color w:val="auto"/>
                <w:sz w:val="24"/>
                <w:szCs w:val="24"/>
              </w:rPr>
              <w:t>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17</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2017.11.20</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中药标本馆</w:t>
            </w:r>
          </w:p>
        </w:tc>
        <w:tc>
          <w:tcPr>
            <w:tcW w:w="3969" w:type="dxa"/>
            <w:vAlign w:val="center"/>
          </w:tcPr>
          <w:p>
            <w:pPr>
              <w:pStyle w:val="5"/>
              <w:snapToGrid w:val="0"/>
              <w:jc w:val="center"/>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我</w:t>
            </w:r>
            <w:r>
              <w:rPr>
                <w:rFonts w:asciiTheme="minorEastAsia" w:hAnsiTheme="minorEastAsia" w:eastAsiaTheme="minorEastAsia"/>
                <w:bCs/>
                <w:color w:val="auto"/>
                <w:sz w:val="24"/>
                <w:szCs w:val="24"/>
              </w:rPr>
              <w:t>爱我校</w:t>
            </w:r>
          </w:p>
        </w:tc>
        <w:tc>
          <w:tcPr>
            <w:tcW w:w="1657"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天使</w:t>
            </w:r>
            <w:r>
              <w:rPr>
                <w:rFonts w:asciiTheme="minorEastAsia" w:hAnsiTheme="minorEastAsia" w:eastAsiaTheme="minorEastAsia"/>
                <w:bCs/>
                <w:color w:val="auto"/>
                <w:sz w:val="24"/>
                <w:szCs w:val="24"/>
              </w:rPr>
              <w:t>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18</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 xml:space="preserve">2018.1.11 </w:t>
            </w:r>
          </w:p>
        </w:tc>
        <w:tc>
          <w:tcPr>
            <w:tcW w:w="1701"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六楼报告厅</w:t>
            </w:r>
          </w:p>
        </w:tc>
        <w:tc>
          <w:tcPr>
            <w:tcW w:w="3969" w:type="dxa"/>
            <w:vAlign w:val="center"/>
          </w:tcPr>
          <w:p>
            <w:pPr>
              <w:pStyle w:val="5"/>
              <w:snapToGrid w:val="0"/>
              <w:jc w:val="center"/>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爱家 感恩</w:t>
            </w:r>
          </w:p>
        </w:tc>
        <w:tc>
          <w:tcPr>
            <w:tcW w:w="1657" w:type="dxa"/>
            <w:vAlign w:val="center"/>
          </w:tcPr>
          <w:p>
            <w:pPr>
              <w:pStyle w:val="5"/>
              <w:snapToGrid w:val="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天使</w:t>
            </w:r>
            <w:r>
              <w:rPr>
                <w:rFonts w:asciiTheme="minorEastAsia" w:hAnsiTheme="minorEastAsia" w:eastAsiaTheme="minorEastAsia"/>
                <w:bCs/>
                <w:color w:val="auto"/>
                <w:sz w:val="24"/>
                <w:szCs w:val="24"/>
              </w:rPr>
              <w:t>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19</w:t>
            </w:r>
          </w:p>
        </w:tc>
        <w:tc>
          <w:tcPr>
            <w:tcW w:w="1701" w:type="dxa"/>
            <w:vAlign w:val="center"/>
          </w:tcPr>
          <w:p>
            <w:pPr>
              <w:snapToGrid w:val="0"/>
              <w:spacing w:after="120"/>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201</w:t>
            </w:r>
            <w:r>
              <w:rPr>
                <w:rFonts w:asciiTheme="minorEastAsia" w:hAnsiTheme="minorEastAsia" w:eastAsiaTheme="minorEastAsia"/>
                <w:bCs/>
                <w:color w:val="auto"/>
                <w:sz w:val="24"/>
              </w:rPr>
              <w:t>7</w:t>
            </w:r>
            <w:r>
              <w:rPr>
                <w:rFonts w:hint="eastAsia" w:asciiTheme="minorEastAsia" w:hAnsiTheme="minorEastAsia" w:eastAsiaTheme="minorEastAsia"/>
                <w:bCs/>
                <w:color w:val="auto"/>
                <w:sz w:val="24"/>
              </w:rPr>
              <w:t>.12</w:t>
            </w:r>
          </w:p>
        </w:tc>
        <w:tc>
          <w:tcPr>
            <w:tcW w:w="1701" w:type="dxa"/>
            <w:vAlign w:val="center"/>
          </w:tcPr>
          <w:p>
            <w:pPr>
              <w:snapToGrid w:val="0"/>
              <w:spacing w:after="120"/>
              <w:jc w:val="center"/>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教室</w:t>
            </w:r>
            <w:r>
              <w:rPr>
                <w:rFonts w:asciiTheme="minorEastAsia" w:hAnsiTheme="minorEastAsia" w:eastAsiaTheme="minorEastAsia"/>
                <w:bCs/>
                <w:color w:val="auto"/>
                <w:sz w:val="24"/>
              </w:rPr>
              <w:t>·操场</w:t>
            </w:r>
          </w:p>
        </w:tc>
        <w:tc>
          <w:tcPr>
            <w:tcW w:w="3969" w:type="dxa"/>
            <w:vAlign w:val="center"/>
          </w:tcPr>
          <w:p>
            <w:pPr>
              <w:snapToGrid w:val="0"/>
              <w:spacing w:after="120"/>
              <w:jc w:val="center"/>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元旦</w:t>
            </w:r>
            <w:r>
              <w:rPr>
                <w:rFonts w:asciiTheme="minorEastAsia" w:hAnsiTheme="minorEastAsia" w:eastAsiaTheme="minorEastAsia"/>
                <w:bCs/>
                <w:color w:val="auto"/>
                <w:sz w:val="24"/>
              </w:rPr>
              <w:t>迎新综艺</w:t>
            </w:r>
            <w:r>
              <w:rPr>
                <w:rFonts w:hint="eastAsia" w:asciiTheme="minorEastAsia" w:hAnsiTheme="minorEastAsia" w:eastAsiaTheme="minorEastAsia"/>
                <w:bCs/>
                <w:color w:val="auto"/>
                <w:sz w:val="24"/>
              </w:rPr>
              <w:t>活动</w:t>
            </w:r>
          </w:p>
        </w:tc>
        <w:tc>
          <w:tcPr>
            <w:tcW w:w="1657" w:type="dxa"/>
            <w:vAlign w:val="center"/>
          </w:tcPr>
          <w:p>
            <w:pPr>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传统文化艺术活动</w:t>
            </w:r>
          </w:p>
        </w:tc>
      </w:tr>
    </w:tbl>
    <w:p>
      <w:pPr>
        <w:jc w:val="center"/>
        <w:rPr>
          <w:rFonts w:ascii="Times New Roman" w:hAnsi="Times New Roman"/>
          <w:color w:val="auto"/>
          <w:sz w:val="24"/>
        </w:rPr>
      </w:pPr>
    </w:p>
    <w:p>
      <w:pPr>
        <w:jc w:val="center"/>
        <w:rPr>
          <w:rFonts w:ascii="Times New Roman" w:hAnsi="Times New Roman"/>
          <w:color w:val="auto"/>
          <w:sz w:val="24"/>
        </w:rPr>
      </w:pPr>
    </w:p>
    <w:p>
      <w:pPr>
        <w:spacing w:line="360" w:lineRule="auto"/>
        <w:ind w:firstLine="361" w:firstLineChars="150"/>
        <w:rPr>
          <w:rFonts w:ascii="宋体" w:hAnsi="宋体"/>
          <w:b/>
          <w:color w:val="auto"/>
          <w:sz w:val="24"/>
        </w:rPr>
      </w:pPr>
      <w:r>
        <w:rPr>
          <w:rFonts w:hint="eastAsia" w:ascii="新宋体" w:hAnsi="新宋体" w:eastAsia="新宋体"/>
          <w:b/>
          <w:color w:val="auto"/>
          <w:sz w:val="24"/>
        </w:rPr>
        <w:t>（2）学生会建设及活动</w:t>
      </w:r>
    </w:p>
    <w:p>
      <w:pPr>
        <w:spacing w:line="440" w:lineRule="exact"/>
        <w:ind w:firstLine="480" w:firstLineChars="200"/>
        <w:rPr>
          <w:rFonts w:ascii="宋体" w:hAnsi="宋体"/>
          <w:bCs/>
          <w:color w:val="auto"/>
          <w:sz w:val="24"/>
        </w:rPr>
      </w:pPr>
      <w:r>
        <w:rPr>
          <w:rFonts w:hint="eastAsia" w:ascii="新宋体" w:hAnsi="新宋体" w:eastAsia="新宋体"/>
          <w:color w:val="auto"/>
          <w:sz w:val="24"/>
          <w:lang w:eastAsia="zh-CN"/>
        </w:rPr>
        <w:t xml:space="preserve">我校学生会依据《学生会工作条例》为基础，规范组织建设，2017年11月进行了17级学生干部增补，经过班级推荐，班主任审核，学生会试用等层层考核，最终增补了42位同学加入学生会组织。在日常学校管理工作中，积极配合学校各部门开展工作，发挥学生会在学校学生自主管理中的桥梁作用，以学生会干部为主体的学生自主管理队伍，在保障学校教育教学顺利和安全中运行中充分发挥了自我监督、自我管理作用，既锻炼了管理意识，又提升了工作能力，取得了良好的管理成效。 </w:t>
      </w:r>
      <w:r>
        <w:rPr>
          <w:rFonts w:ascii="宋体" w:hAnsi="宋体"/>
          <w:bCs/>
          <w:color w:val="auto"/>
          <w:sz w:val="24"/>
        </w:rPr>
        <w:t xml:space="preserve"> </w:t>
      </w:r>
    </w:p>
    <w:p>
      <w:pPr>
        <w:spacing w:line="360" w:lineRule="auto"/>
        <w:ind w:firstLine="241" w:firstLineChars="100"/>
        <w:rPr>
          <w:rFonts w:ascii="Times New Roman" w:hAnsi="Times New Roman"/>
          <w:b/>
          <w:bCs/>
          <w:color w:val="auto"/>
          <w:sz w:val="24"/>
        </w:rPr>
      </w:pPr>
      <w:r>
        <w:rPr>
          <w:rFonts w:hint="eastAsia" w:cs="宋体" w:asciiTheme="minorEastAsia" w:hAnsiTheme="minorEastAsia" w:eastAsiaTheme="minorEastAsia"/>
          <w:b/>
          <w:color w:val="auto"/>
          <w:kern w:val="0"/>
          <w:sz w:val="24"/>
        </w:rPr>
        <w:t>表13：</w:t>
      </w:r>
      <w:r>
        <w:rPr>
          <w:rFonts w:hint="eastAsia" w:cs="宋体" w:asciiTheme="minorEastAsia" w:hAnsiTheme="minorEastAsia" w:eastAsiaTheme="minorEastAsia"/>
          <w:b/>
          <w:color w:val="auto"/>
          <w:kern w:val="0"/>
          <w:sz w:val="24"/>
          <w:lang w:eastAsia="zh-CN"/>
        </w:rPr>
        <w:t>2017</w:t>
      </w:r>
      <w:r>
        <w:rPr>
          <w:rFonts w:hint="eastAsia" w:cs="宋体" w:asciiTheme="minorEastAsia" w:hAnsiTheme="minorEastAsia" w:eastAsiaTheme="minorEastAsia"/>
          <w:b/>
          <w:color w:val="auto"/>
          <w:kern w:val="0"/>
          <w:sz w:val="24"/>
        </w:rPr>
        <w:t>年度学校</w:t>
      </w:r>
      <w:r>
        <w:rPr>
          <w:rFonts w:hint="eastAsia" w:ascii="Times New Roman" w:hAnsi="Times New Roman"/>
          <w:b/>
          <w:bCs/>
          <w:color w:val="auto"/>
          <w:sz w:val="24"/>
        </w:rPr>
        <w:t>学生会</w:t>
      </w:r>
      <w:r>
        <w:rPr>
          <w:rFonts w:hint="eastAsia" w:ascii="Times New Roman" w:hAnsi="Times New Roman" w:cs="宋体"/>
          <w:b/>
          <w:bCs/>
          <w:color w:val="auto"/>
          <w:sz w:val="24"/>
        </w:rPr>
        <w:t>主要活动情况一览表</w:t>
      </w:r>
    </w:p>
    <w:tbl>
      <w:tblPr>
        <w:tblStyle w:val="14"/>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42"/>
        <w:gridCol w:w="3402"/>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668"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类别</w:t>
            </w:r>
          </w:p>
        </w:tc>
        <w:tc>
          <w:tcPr>
            <w:tcW w:w="184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时间</w:t>
            </w:r>
          </w:p>
        </w:tc>
        <w:tc>
          <w:tcPr>
            <w:tcW w:w="340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活动内容</w:t>
            </w:r>
          </w:p>
        </w:tc>
        <w:tc>
          <w:tcPr>
            <w:tcW w:w="2694"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主管部分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668" w:type="dxa"/>
            <w:vMerge w:val="restart"/>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常规管理</w:t>
            </w:r>
          </w:p>
        </w:tc>
        <w:tc>
          <w:tcPr>
            <w:tcW w:w="1842" w:type="dxa"/>
            <w:vMerge w:val="restart"/>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每日</w:t>
            </w:r>
          </w:p>
        </w:tc>
        <w:tc>
          <w:tcPr>
            <w:tcW w:w="340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校园卫生检查</w:t>
            </w:r>
          </w:p>
        </w:tc>
        <w:tc>
          <w:tcPr>
            <w:tcW w:w="2694"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劳卫部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668" w:type="dxa"/>
            <w:vMerge w:val="continue"/>
            <w:shd w:val="clear" w:color="auto" w:fill="auto"/>
            <w:vAlign w:val="center"/>
          </w:tcPr>
          <w:p>
            <w:pPr>
              <w:spacing w:line="600" w:lineRule="exact"/>
              <w:jc w:val="center"/>
              <w:rPr>
                <w:rFonts w:ascii="仿宋" w:hAnsi="仿宋" w:eastAsia="仿宋" w:cs="宋体"/>
                <w:color w:val="auto"/>
                <w:sz w:val="24"/>
              </w:rPr>
            </w:pPr>
          </w:p>
        </w:tc>
        <w:tc>
          <w:tcPr>
            <w:tcW w:w="1842" w:type="dxa"/>
            <w:vMerge w:val="continue"/>
            <w:shd w:val="clear" w:color="auto" w:fill="auto"/>
            <w:vAlign w:val="center"/>
          </w:tcPr>
          <w:p>
            <w:pPr>
              <w:spacing w:line="600" w:lineRule="exact"/>
              <w:jc w:val="center"/>
              <w:rPr>
                <w:rFonts w:ascii="仿宋" w:hAnsi="仿宋" w:eastAsia="仿宋" w:cs="宋体"/>
                <w:color w:val="auto"/>
                <w:sz w:val="24"/>
              </w:rPr>
            </w:pPr>
          </w:p>
        </w:tc>
        <w:tc>
          <w:tcPr>
            <w:tcW w:w="340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校园安全巡逻</w:t>
            </w:r>
          </w:p>
        </w:tc>
        <w:tc>
          <w:tcPr>
            <w:tcW w:w="2694"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巡逻队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668" w:type="dxa"/>
            <w:vMerge w:val="continue"/>
            <w:shd w:val="clear" w:color="auto" w:fill="auto"/>
            <w:vAlign w:val="center"/>
          </w:tcPr>
          <w:p>
            <w:pPr>
              <w:spacing w:line="600" w:lineRule="exact"/>
              <w:jc w:val="center"/>
              <w:rPr>
                <w:rFonts w:ascii="仿宋" w:hAnsi="仿宋" w:eastAsia="仿宋" w:cs="宋体"/>
                <w:color w:val="auto"/>
                <w:sz w:val="24"/>
              </w:rPr>
            </w:pPr>
          </w:p>
        </w:tc>
        <w:tc>
          <w:tcPr>
            <w:tcW w:w="1842" w:type="dxa"/>
            <w:vMerge w:val="continue"/>
            <w:shd w:val="clear" w:color="auto" w:fill="auto"/>
            <w:vAlign w:val="center"/>
          </w:tcPr>
          <w:p>
            <w:pPr>
              <w:spacing w:line="600" w:lineRule="exact"/>
              <w:jc w:val="center"/>
              <w:rPr>
                <w:rFonts w:ascii="仿宋" w:hAnsi="仿宋" w:eastAsia="仿宋" w:cs="宋体"/>
                <w:color w:val="auto"/>
                <w:sz w:val="24"/>
              </w:rPr>
            </w:pPr>
          </w:p>
        </w:tc>
        <w:tc>
          <w:tcPr>
            <w:tcW w:w="340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学生事务中心</w:t>
            </w:r>
          </w:p>
        </w:tc>
        <w:tc>
          <w:tcPr>
            <w:tcW w:w="2694"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秘书部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668" w:type="dxa"/>
            <w:vMerge w:val="continue"/>
            <w:shd w:val="clear" w:color="auto" w:fill="auto"/>
            <w:vAlign w:val="center"/>
          </w:tcPr>
          <w:p>
            <w:pPr>
              <w:spacing w:line="600" w:lineRule="exact"/>
              <w:jc w:val="center"/>
              <w:rPr>
                <w:rFonts w:ascii="仿宋" w:hAnsi="仿宋" w:eastAsia="仿宋" w:cs="宋体"/>
                <w:color w:val="auto"/>
                <w:sz w:val="24"/>
              </w:rPr>
            </w:pPr>
          </w:p>
        </w:tc>
        <w:tc>
          <w:tcPr>
            <w:tcW w:w="184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每周</w:t>
            </w:r>
          </w:p>
        </w:tc>
        <w:tc>
          <w:tcPr>
            <w:tcW w:w="340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值周班级督查</w:t>
            </w:r>
          </w:p>
        </w:tc>
        <w:tc>
          <w:tcPr>
            <w:tcW w:w="2694"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礼仪督察部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668" w:type="dxa"/>
            <w:vMerge w:val="continue"/>
            <w:shd w:val="clear" w:color="auto" w:fill="auto"/>
            <w:vAlign w:val="center"/>
          </w:tcPr>
          <w:p>
            <w:pPr>
              <w:spacing w:line="600" w:lineRule="exact"/>
              <w:jc w:val="center"/>
              <w:rPr>
                <w:rFonts w:ascii="仿宋" w:hAnsi="仿宋" w:eastAsia="仿宋" w:cs="宋体"/>
                <w:color w:val="auto"/>
                <w:sz w:val="24"/>
              </w:rPr>
            </w:pPr>
          </w:p>
        </w:tc>
        <w:tc>
          <w:tcPr>
            <w:tcW w:w="184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每月</w:t>
            </w:r>
          </w:p>
        </w:tc>
        <w:tc>
          <w:tcPr>
            <w:tcW w:w="340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志愿者活动</w:t>
            </w:r>
          </w:p>
        </w:tc>
        <w:tc>
          <w:tcPr>
            <w:tcW w:w="2694"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文娱部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668" w:type="dxa"/>
            <w:vMerge w:val="restart"/>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重大活动</w:t>
            </w:r>
          </w:p>
        </w:tc>
        <w:tc>
          <w:tcPr>
            <w:tcW w:w="184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3月</w:t>
            </w:r>
          </w:p>
        </w:tc>
        <w:tc>
          <w:tcPr>
            <w:tcW w:w="340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南丁格尔传光授帽仪式</w:t>
            </w:r>
          </w:p>
        </w:tc>
        <w:tc>
          <w:tcPr>
            <w:tcW w:w="2694"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668" w:type="dxa"/>
            <w:vMerge w:val="continue"/>
            <w:shd w:val="clear" w:color="auto" w:fill="auto"/>
            <w:vAlign w:val="center"/>
          </w:tcPr>
          <w:p>
            <w:pPr>
              <w:spacing w:line="600" w:lineRule="exact"/>
              <w:jc w:val="center"/>
              <w:rPr>
                <w:rFonts w:ascii="仿宋" w:hAnsi="仿宋" w:eastAsia="仿宋" w:cs="宋体"/>
                <w:color w:val="auto"/>
                <w:sz w:val="24"/>
              </w:rPr>
            </w:pPr>
          </w:p>
        </w:tc>
        <w:tc>
          <w:tcPr>
            <w:tcW w:w="184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4-5月</w:t>
            </w:r>
          </w:p>
        </w:tc>
        <w:tc>
          <w:tcPr>
            <w:tcW w:w="340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文化艺术技能节</w:t>
            </w:r>
          </w:p>
        </w:tc>
        <w:tc>
          <w:tcPr>
            <w:tcW w:w="2694"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668" w:type="dxa"/>
            <w:vMerge w:val="continue"/>
            <w:shd w:val="clear" w:color="auto" w:fill="auto"/>
            <w:vAlign w:val="center"/>
          </w:tcPr>
          <w:p>
            <w:pPr>
              <w:spacing w:line="600" w:lineRule="exact"/>
              <w:jc w:val="center"/>
              <w:rPr>
                <w:rFonts w:ascii="仿宋" w:hAnsi="仿宋" w:eastAsia="仿宋" w:cs="宋体"/>
                <w:color w:val="auto"/>
                <w:sz w:val="24"/>
              </w:rPr>
            </w:pPr>
          </w:p>
        </w:tc>
        <w:tc>
          <w:tcPr>
            <w:tcW w:w="184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8月</w:t>
            </w:r>
          </w:p>
        </w:tc>
        <w:tc>
          <w:tcPr>
            <w:tcW w:w="340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接待新生</w:t>
            </w:r>
          </w:p>
        </w:tc>
        <w:tc>
          <w:tcPr>
            <w:tcW w:w="2694"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668" w:type="dxa"/>
            <w:vMerge w:val="continue"/>
            <w:shd w:val="clear" w:color="auto" w:fill="auto"/>
            <w:vAlign w:val="center"/>
          </w:tcPr>
          <w:p>
            <w:pPr>
              <w:spacing w:line="600" w:lineRule="exact"/>
              <w:jc w:val="center"/>
              <w:rPr>
                <w:rFonts w:ascii="仿宋" w:hAnsi="仿宋" w:eastAsia="仿宋" w:cs="宋体"/>
                <w:color w:val="auto"/>
                <w:sz w:val="24"/>
              </w:rPr>
            </w:pPr>
          </w:p>
        </w:tc>
        <w:tc>
          <w:tcPr>
            <w:tcW w:w="184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10月</w:t>
            </w:r>
          </w:p>
        </w:tc>
        <w:tc>
          <w:tcPr>
            <w:tcW w:w="340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校运会</w:t>
            </w:r>
          </w:p>
        </w:tc>
        <w:tc>
          <w:tcPr>
            <w:tcW w:w="2694"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668" w:type="dxa"/>
            <w:vMerge w:val="continue"/>
            <w:shd w:val="clear" w:color="auto" w:fill="auto"/>
            <w:vAlign w:val="center"/>
          </w:tcPr>
          <w:p>
            <w:pPr>
              <w:spacing w:line="600" w:lineRule="exact"/>
              <w:jc w:val="center"/>
              <w:rPr>
                <w:rFonts w:ascii="仿宋" w:hAnsi="仿宋" w:eastAsia="仿宋" w:cs="宋体"/>
                <w:color w:val="auto"/>
                <w:sz w:val="24"/>
              </w:rPr>
            </w:pPr>
          </w:p>
        </w:tc>
        <w:tc>
          <w:tcPr>
            <w:tcW w:w="184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11月</w:t>
            </w:r>
          </w:p>
        </w:tc>
        <w:tc>
          <w:tcPr>
            <w:tcW w:w="340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技能锦标赛</w:t>
            </w:r>
          </w:p>
        </w:tc>
        <w:tc>
          <w:tcPr>
            <w:tcW w:w="2694"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668" w:type="dxa"/>
            <w:vMerge w:val="continue"/>
            <w:shd w:val="clear" w:color="auto" w:fill="auto"/>
            <w:vAlign w:val="center"/>
          </w:tcPr>
          <w:p>
            <w:pPr>
              <w:spacing w:line="600" w:lineRule="exact"/>
              <w:jc w:val="center"/>
              <w:rPr>
                <w:rFonts w:ascii="仿宋" w:hAnsi="仿宋" w:eastAsia="仿宋" w:cs="宋体"/>
                <w:color w:val="auto"/>
                <w:sz w:val="24"/>
              </w:rPr>
            </w:pPr>
          </w:p>
        </w:tc>
        <w:tc>
          <w:tcPr>
            <w:tcW w:w="184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12月</w:t>
            </w:r>
          </w:p>
        </w:tc>
        <w:tc>
          <w:tcPr>
            <w:tcW w:w="3402"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元旦迎新综艺汇演</w:t>
            </w:r>
          </w:p>
        </w:tc>
        <w:tc>
          <w:tcPr>
            <w:tcW w:w="2694" w:type="dxa"/>
            <w:shd w:val="clear" w:color="auto" w:fill="auto"/>
            <w:vAlign w:val="center"/>
          </w:tcPr>
          <w:p>
            <w:pPr>
              <w:spacing w:line="600" w:lineRule="exact"/>
              <w:jc w:val="center"/>
              <w:rPr>
                <w:rFonts w:ascii="仿宋" w:hAnsi="仿宋" w:eastAsia="仿宋" w:cs="宋体"/>
                <w:color w:val="auto"/>
                <w:sz w:val="24"/>
              </w:rPr>
            </w:pPr>
            <w:r>
              <w:rPr>
                <w:rFonts w:hint="eastAsia" w:ascii="仿宋" w:hAnsi="仿宋" w:eastAsia="仿宋" w:cs="宋体"/>
                <w:color w:val="auto"/>
                <w:sz w:val="24"/>
              </w:rPr>
              <w:t>文娱部</w:t>
            </w:r>
          </w:p>
        </w:tc>
      </w:tr>
    </w:tbl>
    <w:p>
      <w:pPr>
        <w:pStyle w:val="3"/>
        <w:keepNext w:val="0"/>
        <w:keepLines w:val="0"/>
        <w:adjustRightInd w:val="0"/>
        <w:snapToGrid w:val="0"/>
        <w:spacing w:before="156" w:beforeLines="50" w:line="360" w:lineRule="auto"/>
        <w:ind w:firstLine="280" w:firstLineChars="100"/>
        <w:rPr>
          <w:b w:val="0"/>
          <w:color w:val="auto"/>
          <w:sz w:val="28"/>
          <w:szCs w:val="28"/>
        </w:rPr>
      </w:pPr>
      <w:bookmarkStart w:id="67" w:name="_Toc471905944"/>
    </w:p>
    <w:p>
      <w:pPr>
        <w:pStyle w:val="3"/>
        <w:keepNext w:val="0"/>
        <w:keepLines w:val="0"/>
        <w:adjustRightInd w:val="0"/>
        <w:snapToGrid w:val="0"/>
        <w:spacing w:before="156" w:beforeLines="50" w:line="360" w:lineRule="auto"/>
        <w:ind w:firstLine="280" w:firstLineChars="100"/>
        <w:rPr>
          <w:b w:val="0"/>
          <w:color w:val="auto"/>
          <w:sz w:val="28"/>
          <w:szCs w:val="28"/>
        </w:rPr>
      </w:pPr>
      <w:r>
        <w:rPr>
          <w:rFonts w:hint="eastAsia"/>
          <w:b w:val="0"/>
          <w:color w:val="auto"/>
          <w:sz w:val="28"/>
          <w:szCs w:val="28"/>
        </w:rPr>
        <w:t>3.6党建工作</w:t>
      </w:r>
      <w:bookmarkEnd w:id="67"/>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rPr>
          <w:rFonts w:hint="eastAsia" w:ascii="宋体" w:hAnsi="宋体" w:eastAsia="宋体" w:cs="宋体"/>
          <w:snapToGrid w:val="0"/>
          <w:color w:val="auto"/>
          <w:kern w:val="0"/>
          <w:sz w:val="24"/>
        </w:rPr>
      </w:pPr>
      <w:bookmarkStart w:id="68" w:name="_Toc5446"/>
      <w:bookmarkStart w:id="69" w:name="_Toc471905945"/>
      <w:r>
        <w:rPr>
          <w:rFonts w:hint="eastAsia" w:ascii="宋体" w:hAnsi="宋体" w:eastAsia="宋体" w:cs="宋体"/>
          <w:color w:val="auto"/>
          <w:sz w:val="24"/>
        </w:rPr>
        <w:t>本支部共55名党员，4个党小组。</w:t>
      </w:r>
      <w:r>
        <w:rPr>
          <w:rFonts w:hint="eastAsia" w:ascii="宋体" w:hAnsi="宋体" w:eastAsia="宋体" w:cs="宋体"/>
          <w:snapToGrid w:val="0"/>
          <w:color w:val="auto"/>
          <w:kern w:val="0"/>
          <w:sz w:val="24"/>
        </w:rPr>
        <w:t>在局党委的正确领导和关心支持下，以党的十八届六中全会、党的十九大和习近平总书记系列重要讲话精神为指导，按照局党委党建工作部署要求，突出全面从严治党主线，扎实推进“两学一做”学习教育常态化制度化，</w:t>
      </w:r>
      <w:r>
        <w:rPr>
          <w:rFonts w:hint="eastAsia" w:ascii="宋体" w:hAnsi="宋体" w:eastAsia="宋体" w:cs="宋体"/>
          <w:color w:val="auto"/>
          <w:sz w:val="24"/>
        </w:rPr>
        <w:t>深入学习宣传贯彻党的十九大精神，</w:t>
      </w:r>
      <w:r>
        <w:rPr>
          <w:rFonts w:hint="eastAsia" w:ascii="宋体" w:hAnsi="宋体" w:eastAsia="宋体" w:cs="宋体"/>
          <w:snapToGrid w:val="0"/>
          <w:color w:val="auto"/>
          <w:kern w:val="0"/>
          <w:sz w:val="24"/>
        </w:rPr>
        <w:t>加强党员干部管理、人才队伍建设，全力打造“五事干部”队伍，培养“五事员工”。2017年紧紧围绕全市卫计系统和学校党政中心工作，全面完成局党委部署的各项工作任务和支部工作目标，有力的推动了学校持续、稳定、健康、向上发展。</w:t>
      </w:r>
    </w:p>
    <w:p>
      <w:pPr>
        <w:keepNext w:val="0"/>
        <w:keepLines w:val="0"/>
        <w:pageBreakBefore w:val="0"/>
        <w:widowControl w:val="0"/>
        <w:kinsoku/>
        <w:wordWrap/>
        <w:overflowPunct/>
        <w:topLinePunct w:val="0"/>
        <w:bidi w:val="0"/>
        <w:spacing w:before="156" w:beforeLines="50" w:after="156" w:afterLines="50" w:line="360" w:lineRule="auto"/>
        <w:ind w:left="0" w:leftChars="0" w:right="0" w:rightChars="0" w:firstLine="482" w:firstLineChars="200"/>
        <w:rPr>
          <w:rFonts w:hint="eastAsia" w:ascii="宋体" w:hAnsi="宋体" w:eastAsia="宋体" w:cs="宋体"/>
          <w:b/>
          <w:snapToGrid w:val="0"/>
          <w:color w:val="auto"/>
          <w:kern w:val="0"/>
          <w:sz w:val="24"/>
        </w:rPr>
      </w:pPr>
      <w:r>
        <w:rPr>
          <w:rFonts w:hint="eastAsia" w:ascii="宋体" w:hAnsi="宋体" w:cs="宋体"/>
          <w:b/>
          <w:snapToGrid w:val="0"/>
          <w:color w:val="auto"/>
          <w:kern w:val="0"/>
          <w:sz w:val="24"/>
          <w:lang w:eastAsia="zh-CN"/>
        </w:rPr>
        <w:t>（</w:t>
      </w:r>
      <w:r>
        <w:rPr>
          <w:rFonts w:hint="eastAsia" w:ascii="宋体" w:hAnsi="宋体" w:cs="宋体"/>
          <w:b/>
          <w:snapToGrid w:val="0"/>
          <w:color w:val="auto"/>
          <w:kern w:val="0"/>
          <w:sz w:val="24"/>
          <w:lang w:val="en-US" w:eastAsia="zh-CN"/>
        </w:rPr>
        <w:t>1</w:t>
      </w:r>
      <w:r>
        <w:rPr>
          <w:rFonts w:hint="eastAsia" w:ascii="宋体" w:hAnsi="宋体" w:cs="宋体"/>
          <w:b/>
          <w:snapToGrid w:val="0"/>
          <w:color w:val="auto"/>
          <w:kern w:val="0"/>
          <w:sz w:val="24"/>
          <w:lang w:eastAsia="zh-CN"/>
        </w:rPr>
        <w:t>）</w:t>
      </w:r>
      <w:r>
        <w:rPr>
          <w:rFonts w:hint="eastAsia" w:ascii="宋体" w:hAnsi="宋体" w:eastAsia="宋体" w:cs="宋体"/>
          <w:b/>
          <w:snapToGrid w:val="0"/>
          <w:color w:val="auto"/>
          <w:kern w:val="0"/>
          <w:sz w:val="24"/>
        </w:rPr>
        <w:t>加强队伍建设，提高党组织战斗堡垒作用和战斗力。</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rPr>
          <w:rFonts w:hint="eastAsia" w:ascii="宋体" w:hAnsi="宋体" w:eastAsia="宋体" w:cs="宋体"/>
          <w:color w:val="auto"/>
          <w:sz w:val="24"/>
        </w:rPr>
      </w:pPr>
      <w:r>
        <w:rPr>
          <w:rFonts w:hint="eastAsia" w:ascii="宋体" w:hAnsi="宋体" w:cs="宋体"/>
          <w:b/>
          <w:snapToGrid w:val="0"/>
          <w:color w:val="auto"/>
          <w:kern w:val="0"/>
          <w:sz w:val="24"/>
          <w:lang w:eastAsia="zh-CN"/>
        </w:rPr>
        <w:t>①</w:t>
      </w:r>
      <w:r>
        <w:rPr>
          <w:rFonts w:hint="eastAsia" w:ascii="宋体" w:hAnsi="宋体" w:eastAsia="宋体" w:cs="宋体"/>
          <w:b/>
          <w:snapToGrid w:val="0"/>
          <w:color w:val="auto"/>
          <w:kern w:val="0"/>
          <w:sz w:val="24"/>
        </w:rPr>
        <w:t>加强班子和管理团队建设，着力提升政治素养与管理水平。</w:t>
      </w:r>
      <w:r>
        <w:rPr>
          <w:rFonts w:hint="eastAsia" w:ascii="宋体" w:hAnsi="宋体" w:eastAsia="宋体" w:cs="宋体"/>
          <w:color w:val="auto"/>
          <w:sz w:val="24"/>
        </w:rPr>
        <w:t>学校党支部注重加强领导班子和管理团队建设，着力提升领导班子政治思想觉悟，坚持理论联系实际，学以致用、注重实效。新一届支委会坚持全面“从严治党”，切实履行党支部书记党建“第一责任人”职责，层层落实党建工作责任制，并建立健全督促检查工作机制。领导班子的执行力、创造力与协调力得到强化，领导班子和整个管理团队的整体素质提高，切实发挥党支部的战斗堡垒作用和政治核心作用。</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baseline"/>
        <w:rPr>
          <w:rFonts w:hint="eastAsia" w:ascii="宋体" w:hAnsi="宋体" w:eastAsia="宋体" w:cs="宋体"/>
          <w:snapToGrid w:val="0"/>
          <w:color w:val="auto"/>
          <w:kern w:val="0"/>
          <w:sz w:val="24"/>
        </w:rPr>
      </w:pPr>
      <w:r>
        <w:rPr>
          <w:rFonts w:hint="eastAsia" w:ascii="宋体" w:hAnsi="宋体" w:cs="宋体"/>
          <w:b/>
          <w:snapToGrid w:val="0"/>
          <w:color w:val="auto"/>
          <w:kern w:val="0"/>
          <w:sz w:val="24"/>
          <w:lang w:eastAsia="zh-CN"/>
        </w:rPr>
        <w:t>②</w:t>
      </w:r>
      <w:r>
        <w:rPr>
          <w:rFonts w:hint="eastAsia" w:ascii="宋体" w:hAnsi="宋体" w:eastAsia="宋体" w:cs="宋体"/>
          <w:b/>
          <w:snapToGrid w:val="0"/>
          <w:color w:val="auto"/>
          <w:kern w:val="0"/>
          <w:sz w:val="24"/>
        </w:rPr>
        <w:t>开展思想政治教育，全力打造“五事干部”队伍。</w:t>
      </w:r>
      <w:r>
        <w:rPr>
          <w:rFonts w:hint="eastAsia" w:ascii="宋体" w:hAnsi="宋体" w:eastAsia="宋体" w:cs="宋体"/>
          <w:snapToGrid w:val="0"/>
          <w:color w:val="auto"/>
          <w:kern w:val="0"/>
          <w:sz w:val="24"/>
        </w:rPr>
        <w:t>坚决贯彻党要管党、“两学一做”学习教育常态化制度化、全面从严治党要求；坚持履行党风廉政建设的政治责任，抓党员干部意识形态；深入开展党章、党史、习总书记系列讲话、认真研读十九大报告、习总书记7.26重要讲话、省十四次党代会精神、向廖俊波等先进人物学习等专题学习讨论；深化党员队伍“补钙加油”工程，凝心聚力，提高支部全党工作执行度，建设团结、务实、创新、向上、和谐的学校氛围，打造一支忠诚、干净、担当的“五事干部”队伍。</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baseline"/>
        <w:rPr>
          <w:rFonts w:hint="eastAsia" w:ascii="宋体" w:hAnsi="宋体" w:eastAsia="宋体" w:cs="宋体"/>
          <w:snapToGrid w:val="0"/>
          <w:color w:val="auto"/>
          <w:kern w:val="0"/>
          <w:sz w:val="24"/>
        </w:rPr>
      </w:pPr>
      <w:r>
        <w:rPr>
          <w:rFonts w:hint="eastAsia" w:ascii="宋体" w:hAnsi="宋体" w:cs="宋体"/>
          <w:b/>
          <w:snapToGrid w:val="0"/>
          <w:color w:val="auto"/>
          <w:kern w:val="0"/>
          <w:sz w:val="24"/>
          <w:lang w:eastAsia="zh-CN"/>
        </w:rPr>
        <w:t>③</w:t>
      </w:r>
      <w:r>
        <w:rPr>
          <w:rFonts w:hint="eastAsia" w:ascii="宋体" w:hAnsi="宋体" w:eastAsia="宋体" w:cs="宋体"/>
          <w:b/>
          <w:snapToGrid w:val="0"/>
          <w:color w:val="auto"/>
          <w:kern w:val="0"/>
          <w:sz w:val="24"/>
        </w:rPr>
        <w:t>深化“一员双岗”，全面争做“五事”员工。</w:t>
      </w:r>
      <w:r>
        <w:rPr>
          <w:rFonts w:hint="eastAsia" w:ascii="宋体" w:hAnsi="宋体" w:eastAsia="宋体" w:cs="宋体"/>
          <w:snapToGrid w:val="0"/>
          <w:color w:val="auto"/>
          <w:kern w:val="0"/>
          <w:sz w:val="24"/>
        </w:rPr>
        <w:t>认真落实基层党建“三会一课”、“主题党日+”制度、党员“五查五看”等工作。完善党组织和党员“双指数”考评和“闪光言行”评选，促进党员在教育教学工作中践行“四个合格”。将党建工作融入学生管理工作中，立足学校常规党员志愿服务的基础上，创新开展党建特色项目：党员“天使导学”和“安全护学”——“双学”志愿服务活动，每日接送南苑四里生活区宿舍学生上下学工作和“慢生快成长”的帮扶工作，组织引导党员立足岗位作贡献、正当示范，激发广大党员“身在学校奉献学校、心系学生服务学生”的热情，树立党在学校师生中的良好形象。</w:t>
      </w:r>
    </w:p>
    <w:p>
      <w:pPr>
        <w:keepNext w:val="0"/>
        <w:keepLines w:val="0"/>
        <w:pageBreakBefore w:val="0"/>
        <w:widowControl w:val="0"/>
        <w:kinsoku/>
        <w:wordWrap/>
        <w:overflowPunct/>
        <w:topLinePunct w:val="0"/>
        <w:bidi w:val="0"/>
        <w:spacing w:before="156" w:beforeLines="50" w:after="156" w:afterLines="50" w:line="360" w:lineRule="auto"/>
        <w:ind w:left="0" w:leftChars="0" w:right="0" w:rightChars="0" w:firstLine="482" w:firstLineChars="200"/>
        <w:rPr>
          <w:rFonts w:hint="eastAsia" w:ascii="宋体" w:hAnsi="宋体" w:eastAsia="宋体" w:cs="宋体"/>
          <w:b/>
          <w:snapToGrid w:val="0"/>
          <w:color w:val="auto"/>
          <w:kern w:val="0"/>
          <w:sz w:val="24"/>
        </w:rPr>
      </w:pPr>
      <w:r>
        <w:rPr>
          <w:rFonts w:hint="eastAsia" w:ascii="宋体" w:hAnsi="宋体" w:cs="宋体"/>
          <w:b/>
          <w:snapToGrid w:val="0"/>
          <w:color w:val="auto"/>
          <w:kern w:val="0"/>
          <w:sz w:val="24"/>
          <w:lang w:eastAsia="zh-CN"/>
        </w:rPr>
        <w:t>（</w:t>
      </w:r>
      <w:r>
        <w:rPr>
          <w:rFonts w:hint="eastAsia" w:ascii="宋体" w:hAnsi="宋体" w:cs="宋体"/>
          <w:b/>
          <w:snapToGrid w:val="0"/>
          <w:color w:val="auto"/>
          <w:kern w:val="0"/>
          <w:sz w:val="24"/>
          <w:lang w:val="en-US" w:eastAsia="zh-CN"/>
        </w:rPr>
        <w:t>2</w:t>
      </w:r>
      <w:r>
        <w:rPr>
          <w:rFonts w:hint="eastAsia" w:ascii="宋体" w:hAnsi="宋体" w:cs="宋体"/>
          <w:b/>
          <w:snapToGrid w:val="0"/>
          <w:color w:val="auto"/>
          <w:kern w:val="0"/>
          <w:sz w:val="24"/>
          <w:lang w:eastAsia="zh-CN"/>
        </w:rPr>
        <w:t>）</w:t>
      </w:r>
      <w:r>
        <w:rPr>
          <w:rFonts w:hint="eastAsia" w:ascii="宋体" w:hAnsi="宋体" w:eastAsia="宋体" w:cs="宋体"/>
          <w:b/>
          <w:snapToGrid w:val="0"/>
          <w:color w:val="auto"/>
          <w:kern w:val="0"/>
          <w:sz w:val="24"/>
        </w:rPr>
        <w:t>精心谋划部署，扎实推进“两学一做”学习教育常态化制度化</w:t>
      </w:r>
    </w:p>
    <w:p>
      <w:pPr>
        <w:keepNext w:val="0"/>
        <w:keepLines w:val="0"/>
        <w:pageBreakBefore w:val="0"/>
        <w:widowControl w:val="0"/>
        <w:kinsoku/>
        <w:wordWrap/>
        <w:overflowPunct/>
        <w:topLinePunct w:val="0"/>
        <w:bidi w:val="0"/>
        <w:spacing w:line="360" w:lineRule="auto"/>
        <w:ind w:left="0" w:leftChars="0" w:right="0" w:rightChars="0" w:firstLine="482" w:firstLineChars="200"/>
        <w:jc w:val="left"/>
        <w:rPr>
          <w:rFonts w:hint="eastAsia" w:ascii="宋体" w:hAnsi="宋体" w:eastAsia="宋体" w:cs="宋体"/>
          <w:snapToGrid w:val="0"/>
          <w:color w:val="auto"/>
          <w:kern w:val="0"/>
          <w:sz w:val="24"/>
        </w:rPr>
      </w:pPr>
      <w:r>
        <w:rPr>
          <w:rFonts w:hint="eastAsia" w:ascii="宋体" w:hAnsi="宋体" w:cs="宋体"/>
          <w:b/>
          <w:snapToGrid w:val="0"/>
          <w:color w:val="auto"/>
          <w:kern w:val="0"/>
          <w:sz w:val="24"/>
          <w:lang w:eastAsia="zh-CN"/>
        </w:rPr>
        <w:t>①</w:t>
      </w:r>
      <w:r>
        <w:rPr>
          <w:rFonts w:hint="eastAsia" w:ascii="宋体" w:hAnsi="宋体" w:eastAsia="宋体" w:cs="宋体"/>
          <w:b/>
          <w:snapToGrid w:val="0"/>
          <w:color w:val="auto"/>
          <w:kern w:val="0"/>
          <w:sz w:val="24"/>
        </w:rPr>
        <w:t>制度完善得力，保证“学”得扎实</w:t>
      </w:r>
      <w:r>
        <w:rPr>
          <w:rFonts w:hint="eastAsia" w:ascii="宋体" w:hAnsi="宋体" w:cs="宋体"/>
          <w:b/>
          <w:snapToGrid w:val="0"/>
          <w:color w:val="auto"/>
          <w:kern w:val="0"/>
          <w:sz w:val="24"/>
          <w:lang w:eastAsia="zh-CN"/>
        </w:rPr>
        <w:t>：</w:t>
      </w:r>
      <w:r>
        <w:rPr>
          <w:rFonts w:hint="eastAsia" w:ascii="宋体" w:hAnsi="宋体" w:eastAsia="宋体" w:cs="宋体"/>
          <w:snapToGrid w:val="0"/>
          <w:color w:val="auto"/>
          <w:kern w:val="0"/>
          <w:sz w:val="24"/>
        </w:rPr>
        <w:t>制定“两学一做”学习教育常态化制度化实施方案；按照要求编制年度党员自学和专题学习计划，党员领导干部制定个人自学计划；认真落实“三会一课”制度、党费收缴制度、党员请假补课制度、党员学习制度、党员发展制度等，以规范的制度管理，促进党内生活质量提高。通过支委会、党员大会、党小组会议、党员线上线下自学、撰写心得体会、小组讨论、党性体验活动等形式，认真组织全体党员学习党章党规、习近平总书记系列重要讲话精神、省第十四次党代会精神、党的十九大相关内容、研读《弘扬弘传精神 走在时代前列》署名文章等。</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党支部结合“三会一课”、“党员固定党日”制定支部“主题党日活动+”制度，每月制定党支部组织生活任务书，严格推行“三五”组织生活固定日，将月初第一个周五定为支委会组织生活固定日，召开支委会；月末最后一个周五定为党员组织生活固定日，开展党员大会、党员党性体验活动等活动，如天使导学、三五党日、党员诵党章、南湖革命纪念馆党性体验活动等。</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cs="宋体"/>
          <w:snapToGrid w:val="0"/>
          <w:color w:val="auto"/>
          <w:kern w:val="0"/>
          <w:sz w:val="24"/>
          <w:lang w:eastAsia="zh-CN"/>
        </w:rPr>
        <w:t>同时，</w:t>
      </w:r>
      <w:r>
        <w:rPr>
          <w:rFonts w:hint="eastAsia" w:ascii="宋体" w:hAnsi="宋体" w:eastAsia="宋体" w:cs="宋体"/>
          <w:snapToGrid w:val="0"/>
          <w:color w:val="auto"/>
          <w:kern w:val="0"/>
          <w:sz w:val="24"/>
        </w:rPr>
        <w:t>积极参加局基层党员“补钙加油”轮训和海宁市离退休党员干部“补钙加油”轮训，补好理想信念精神之钙、加好为民服务动力之油；发动党员用好“红船领航”、“潮乡先锋”、支部微信群、公众号、QQ群等开展网上学习，提高学习参与面和实效；通过各类平台宣传支部开展的活动，多次开展党建微信推送和组工信息宣传，《不改初心守信念，党建强校树标杆》在中国教育报刊登。</w:t>
      </w:r>
    </w:p>
    <w:p>
      <w:pPr>
        <w:keepNext w:val="0"/>
        <w:keepLines w:val="0"/>
        <w:pageBreakBefore w:val="0"/>
        <w:widowControl w:val="0"/>
        <w:kinsoku/>
        <w:wordWrap/>
        <w:overflowPunct/>
        <w:topLinePunct w:val="0"/>
        <w:bidi w:val="0"/>
        <w:spacing w:line="360" w:lineRule="auto"/>
        <w:ind w:left="0" w:leftChars="0" w:right="0" w:rightChars="0" w:firstLine="482" w:firstLineChars="200"/>
        <w:jc w:val="left"/>
        <w:rPr>
          <w:rFonts w:hint="eastAsia" w:ascii="宋体" w:hAnsi="宋体" w:eastAsia="宋体" w:cs="宋体"/>
          <w:snapToGrid w:val="0"/>
          <w:color w:val="auto"/>
          <w:kern w:val="0"/>
          <w:sz w:val="24"/>
          <w:szCs w:val="24"/>
        </w:rPr>
      </w:pPr>
      <w:r>
        <w:rPr>
          <w:rFonts w:hint="eastAsia" w:ascii="宋体" w:hAnsi="宋体" w:cs="宋体"/>
          <w:b/>
          <w:snapToGrid w:val="0"/>
          <w:color w:val="auto"/>
          <w:kern w:val="0"/>
          <w:sz w:val="24"/>
          <w:lang w:eastAsia="zh-CN"/>
        </w:rPr>
        <w:t>②</w:t>
      </w:r>
      <w:r>
        <w:rPr>
          <w:rFonts w:hint="eastAsia" w:ascii="宋体" w:hAnsi="宋体" w:eastAsia="宋体" w:cs="宋体"/>
          <w:b/>
          <w:snapToGrid w:val="0"/>
          <w:color w:val="auto"/>
          <w:kern w:val="0"/>
          <w:sz w:val="24"/>
        </w:rPr>
        <w:t xml:space="preserve"> 发挥党员作用，确保“做”有行动 </w:t>
      </w:r>
      <w:r>
        <w:rPr>
          <w:rFonts w:hint="eastAsia" w:ascii="宋体" w:hAnsi="宋体" w:cs="宋体"/>
          <w:b/>
          <w:snapToGrid w:val="0"/>
          <w:color w:val="auto"/>
          <w:kern w:val="0"/>
          <w:sz w:val="24"/>
          <w:lang w:eastAsia="zh-CN"/>
        </w:rPr>
        <w:t>：</w:t>
      </w:r>
      <w:r>
        <w:rPr>
          <w:rFonts w:hint="eastAsia" w:ascii="宋体" w:hAnsi="宋体" w:eastAsia="宋体" w:cs="宋体"/>
          <w:snapToGrid w:val="0"/>
          <w:color w:val="auto"/>
          <w:kern w:val="0"/>
          <w:sz w:val="24"/>
          <w:szCs w:val="24"/>
        </w:rPr>
        <w:t>在党员“两学一做”的同时，在团员青年中开展“两学一做”做合格团员的学习教育，让团员青年积极向党组织靠拢，为党组织补充新鲜血液奠定坚实基础。本年度发展预备党员1名，培养中入党积极分子37名。及时做好党员组织关系接转工作。</w:t>
      </w:r>
    </w:p>
    <w:p>
      <w:pPr>
        <w:pStyle w:val="25"/>
        <w:keepNext w:val="0"/>
        <w:keepLines w:val="0"/>
        <w:pageBreakBefore w:val="0"/>
        <w:widowControl w:val="0"/>
        <w:kinsoku/>
        <w:wordWrap/>
        <w:overflowPunct/>
        <w:topLinePunct w:val="0"/>
        <w:bidi w:val="0"/>
        <w:spacing w:line="360" w:lineRule="auto"/>
        <w:ind w:left="0" w:leftChars="0" w:right="0" w:rightChars="0"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认真开展两富同行、退休教师、疾病教师、慢生快成长等民情学情走访活动，服务群众服务社会，特别是创新开展“天使导学、护学、助学”项目。天使导学中，38位党员导师与72名慢生结对，直接关注他们的成长问题；党员护学中，党员每日风雨无阻，来回送学生安全上下学；天使助学中，关注困难学生，发放奖学助学金共计77435元。党员在治水、垃圾分类、双禁、全国文明城市创建中发挥作用。</w:t>
      </w:r>
    </w:p>
    <w:p>
      <w:pPr>
        <w:keepNext w:val="0"/>
        <w:keepLines w:val="0"/>
        <w:pageBreakBefore w:val="0"/>
        <w:widowControl w:val="0"/>
        <w:kinsoku/>
        <w:wordWrap/>
        <w:overflowPunct/>
        <w:topLinePunct w:val="0"/>
        <w:bidi w:val="0"/>
        <w:spacing w:line="360" w:lineRule="auto"/>
        <w:ind w:left="0" w:leftChars="0" w:right="0" w:rightChars="0" w:firstLine="482" w:firstLineChars="200"/>
        <w:jc w:val="left"/>
        <w:rPr>
          <w:rFonts w:hint="eastAsia" w:ascii="宋体" w:hAnsi="宋体" w:eastAsia="宋体" w:cs="宋体"/>
          <w:snapToGrid w:val="0"/>
          <w:color w:val="auto"/>
          <w:kern w:val="0"/>
          <w:sz w:val="24"/>
          <w:szCs w:val="24"/>
        </w:rPr>
      </w:pPr>
      <w:r>
        <w:rPr>
          <w:rFonts w:hint="eastAsia" w:ascii="宋体" w:hAnsi="宋体" w:cs="宋体"/>
          <w:b/>
          <w:snapToGrid w:val="0"/>
          <w:color w:val="auto"/>
          <w:kern w:val="0"/>
          <w:sz w:val="24"/>
          <w:lang w:eastAsia="zh-CN"/>
        </w:rPr>
        <w:t>③</w:t>
      </w:r>
      <w:r>
        <w:rPr>
          <w:rFonts w:hint="eastAsia" w:ascii="宋体" w:hAnsi="宋体" w:eastAsia="宋体" w:cs="宋体"/>
          <w:b/>
          <w:snapToGrid w:val="0"/>
          <w:color w:val="auto"/>
          <w:kern w:val="0"/>
          <w:sz w:val="24"/>
        </w:rPr>
        <w:t>开展自查互评工作，促使“改”有成效</w:t>
      </w:r>
      <w:r>
        <w:rPr>
          <w:rFonts w:hint="eastAsia" w:ascii="宋体" w:hAnsi="宋体" w:cs="宋体"/>
          <w:b/>
          <w:snapToGrid w:val="0"/>
          <w:color w:val="auto"/>
          <w:kern w:val="0"/>
          <w:sz w:val="24"/>
          <w:lang w:eastAsia="zh-CN"/>
        </w:rPr>
        <w:t>：</w:t>
      </w:r>
      <w:r>
        <w:rPr>
          <w:rFonts w:hint="eastAsia" w:ascii="宋体" w:hAnsi="宋体" w:eastAsia="宋体" w:cs="宋体"/>
          <w:snapToGrid w:val="0"/>
          <w:color w:val="auto"/>
          <w:kern w:val="0"/>
          <w:sz w:val="24"/>
          <w:szCs w:val="24"/>
        </w:rPr>
        <w:t>梳理工作重点，理清工作短板。全年党支部围绕重点任务和个性任务开展系列活动和主题教育实践活动。在支部中开展党员负面言行查找，让党员自查自诊，以此提高支部战斗力、提升党员综合素养的目的。</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每位党员结合实际工作对照合格党员标准，认真做好个人“五看五查”专题讨论，列出个人问题清单，根据清单列出整改时间及预期效果。同时根据相关议题和个人工作实际，谈心灵深处感悟，谈在工作中如何作表率。每位党员作履职履诺情况、先锋作用和先锋指数自评、对照检查不足的自我批评和整改方向发言；党员之间作履诺践诺、“闪光言行”互评和批评帮助，肯定工作成绩，指出存在问题，明确整改方向。</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党支部书记与班子成员，以及班子成员与党员开展谈心谈话，关心每一位党员同志的成长和工作实绩，指出存在的问题和努力的方向。通过谈心谈话，既听取了干部的意见建议和愿望诉求，又增进了领导与干部之间的相互沟通和思想交流，同时营造出讲政治、守纪律、懂规矩的良好氛围。</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4、开展廉政警示教育</w:t>
      </w:r>
      <w:r>
        <w:rPr>
          <w:rFonts w:hint="eastAsia" w:ascii="宋体" w:hAnsi="宋体" w:cs="宋体"/>
          <w:snapToGrid w:val="0"/>
          <w:color w:val="auto"/>
          <w:kern w:val="0"/>
          <w:sz w:val="24"/>
          <w:lang w:eastAsia="zh-CN"/>
        </w:rPr>
        <w:t>、</w:t>
      </w:r>
      <w:r>
        <w:rPr>
          <w:rFonts w:hint="eastAsia" w:ascii="宋体" w:hAnsi="宋体" w:eastAsia="宋体" w:cs="宋体"/>
          <w:snapToGrid w:val="0"/>
          <w:color w:val="auto"/>
          <w:kern w:val="0"/>
          <w:sz w:val="24"/>
        </w:rPr>
        <w:t>重温入党誓词</w:t>
      </w:r>
      <w:r>
        <w:rPr>
          <w:rFonts w:hint="eastAsia" w:ascii="宋体" w:hAnsi="宋体" w:cs="宋体"/>
          <w:snapToGrid w:val="0"/>
          <w:color w:val="auto"/>
          <w:kern w:val="0"/>
          <w:sz w:val="24"/>
          <w:lang w:eastAsia="zh-CN"/>
        </w:rPr>
        <w:t>、</w:t>
      </w:r>
      <w:r>
        <w:rPr>
          <w:rFonts w:hint="eastAsia" w:ascii="宋体" w:hAnsi="宋体" w:eastAsia="宋体" w:cs="宋体"/>
          <w:snapToGrid w:val="0"/>
          <w:color w:val="auto"/>
          <w:kern w:val="0"/>
          <w:sz w:val="24"/>
        </w:rPr>
        <w:t>“天使导学”自查互评</w:t>
      </w:r>
      <w:r>
        <w:rPr>
          <w:rFonts w:hint="eastAsia" w:ascii="宋体" w:hAnsi="宋体" w:cs="宋体"/>
          <w:snapToGrid w:val="0"/>
          <w:color w:val="auto"/>
          <w:kern w:val="0"/>
          <w:sz w:val="24"/>
          <w:lang w:eastAsia="zh-CN"/>
        </w:rPr>
        <w:t>等</w:t>
      </w:r>
      <w:r>
        <w:rPr>
          <w:rFonts w:hint="eastAsia" w:ascii="宋体" w:hAnsi="宋体" w:eastAsia="宋体" w:cs="宋体"/>
          <w:snapToGrid w:val="0"/>
          <w:color w:val="auto"/>
          <w:kern w:val="0"/>
          <w:sz w:val="24"/>
        </w:rPr>
        <w:t>各项主题教育活动。进一步增强党员干部的廉洁自律意识，引导广大党员干部提高党性修养，坚持正确政治方向，树立正确的世界观、人生观和价值观，模范践行社会主义核心价值体系，树立广大党员干部敬畏党纪党规意识。</w:t>
      </w:r>
      <w:r>
        <w:rPr>
          <w:rFonts w:hint="eastAsia" w:ascii="宋体" w:hAnsi="宋体" w:cs="宋体"/>
          <w:snapToGrid w:val="0"/>
          <w:color w:val="auto"/>
          <w:kern w:val="0"/>
          <w:sz w:val="24"/>
          <w:lang w:eastAsia="zh-CN"/>
        </w:rPr>
        <w:t>同时</w:t>
      </w:r>
      <w:r>
        <w:rPr>
          <w:rFonts w:hint="eastAsia" w:ascii="宋体" w:hAnsi="宋体" w:eastAsia="宋体" w:cs="宋体"/>
          <w:snapToGrid w:val="0"/>
          <w:color w:val="auto"/>
          <w:kern w:val="0"/>
          <w:sz w:val="24"/>
        </w:rPr>
        <w:t>积极参加各级组织的活动和比赛：如“勇立潮头，为健康中国护航”微党课比赛、“支部好声音”、“颂党声 悟党情”朗读者、“看五事担当 展卫计风采”演讲比赛、“我最喜欢的习总书记一句话”、“喜迎十九大，万人读党章”、“寄语十九大，说句心里话”、党纪党规测试等，均取得较好成绩。</w:t>
      </w:r>
    </w:p>
    <w:p>
      <w:pPr>
        <w:keepNext w:val="0"/>
        <w:keepLines w:val="0"/>
        <w:pageBreakBefore w:val="0"/>
        <w:widowControl w:val="0"/>
        <w:kinsoku/>
        <w:wordWrap/>
        <w:overflowPunct/>
        <w:topLinePunct w:val="0"/>
        <w:bidi w:val="0"/>
        <w:spacing w:before="156" w:beforeLines="50" w:after="156" w:afterLines="50" w:line="360" w:lineRule="auto"/>
        <w:ind w:left="0" w:leftChars="0" w:right="0" w:rightChars="0" w:firstLine="482" w:firstLineChars="200"/>
        <w:rPr>
          <w:rFonts w:hint="eastAsia" w:ascii="宋体" w:hAnsi="宋体" w:eastAsia="宋体" w:cs="宋体"/>
          <w:b/>
          <w:snapToGrid w:val="0"/>
          <w:color w:val="auto"/>
          <w:kern w:val="0"/>
          <w:sz w:val="24"/>
        </w:rPr>
      </w:pPr>
      <w:r>
        <w:rPr>
          <w:rFonts w:hint="eastAsia" w:ascii="宋体" w:hAnsi="宋体" w:cs="宋体"/>
          <w:b/>
          <w:snapToGrid w:val="0"/>
          <w:color w:val="auto"/>
          <w:kern w:val="0"/>
          <w:sz w:val="24"/>
          <w:lang w:eastAsia="zh-CN"/>
        </w:rPr>
        <w:t>（</w:t>
      </w:r>
      <w:r>
        <w:rPr>
          <w:rFonts w:hint="eastAsia" w:ascii="宋体" w:hAnsi="宋体" w:cs="宋体"/>
          <w:b/>
          <w:snapToGrid w:val="0"/>
          <w:color w:val="auto"/>
          <w:kern w:val="0"/>
          <w:sz w:val="24"/>
          <w:lang w:val="en-US" w:eastAsia="zh-CN"/>
        </w:rPr>
        <w:t>3</w:t>
      </w:r>
      <w:r>
        <w:rPr>
          <w:rFonts w:hint="eastAsia" w:ascii="宋体" w:hAnsi="宋体" w:cs="宋体"/>
          <w:b/>
          <w:snapToGrid w:val="0"/>
          <w:color w:val="auto"/>
          <w:kern w:val="0"/>
          <w:sz w:val="24"/>
          <w:lang w:eastAsia="zh-CN"/>
        </w:rPr>
        <w:t>）</w:t>
      </w:r>
      <w:r>
        <w:rPr>
          <w:rFonts w:hint="eastAsia" w:ascii="宋体" w:hAnsi="宋体" w:eastAsia="宋体" w:cs="宋体"/>
          <w:b/>
          <w:snapToGrid w:val="0"/>
          <w:color w:val="auto"/>
          <w:kern w:val="0"/>
          <w:sz w:val="24"/>
        </w:rPr>
        <w:t xml:space="preserve">抓好作风建设，有效强化党员干部廉政素养 </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rPr>
          <w:rFonts w:hint="eastAsia" w:ascii="宋体" w:hAnsi="宋体" w:eastAsia="宋体" w:cs="宋体"/>
          <w:snapToGrid w:val="0"/>
          <w:color w:val="auto"/>
          <w:kern w:val="0"/>
          <w:sz w:val="24"/>
        </w:rPr>
      </w:pPr>
      <w:r>
        <w:rPr>
          <w:rFonts w:hint="eastAsia" w:ascii="宋体" w:hAnsi="宋体" w:cs="宋体"/>
          <w:b/>
          <w:snapToGrid w:val="0"/>
          <w:color w:val="auto"/>
          <w:kern w:val="0"/>
          <w:sz w:val="24"/>
          <w:lang w:eastAsia="zh-CN"/>
        </w:rPr>
        <w:t>①</w:t>
      </w:r>
      <w:r>
        <w:rPr>
          <w:rFonts w:hint="eastAsia" w:ascii="宋体" w:hAnsi="宋体" w:eastAsia="宋体" w:cs="宋体"/>
          <w:b/>
          <w:snapToGrid w:val="0"/>
          <w:color w:val="auto"/>
          <w:kern w:val="0"/>
          <w:sz w:val="24"/>
        </w:rPr>
        <w:t>贯彻民主集中制原则、推进学校民主化管理。</w:t>
      </w:r>
      <w:r>
        <w:rPr>
          <w:rFonts w:hint="eastAsia" w:ascii="宋体" w:hAnsi="宋体" w:eastAsia="宋体" w:cs="宋体"/>
          <w:snapToGrid w:val="0"/>
          <w:color w:val="auto"/>
          <w:kern w:val="0"/>
          <w:sz w:val="24"/>
        </w:rPr>
        <w:t>完善领导班子议事和决策机制，重大事项均递交支委研究讨论。健全职代会制度，发动广大教师参与学校管理，广泛征集师生、家长对学校工作的意见、建议，并整理归纳，为学校制定规划和改革提供参考依据。在教育教学工作中突出作风建设、师德师风建设，把抓党风廉政建设与师资队伍建设有机结合，深入开展师德师风教育。</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rPr>
          <w:rFonts w:hint="eastAsia" w:ascii="宋体" w:hAnsi="宋体" w:eastAsia="宋体" w:cs="宋体"/>
          <w:snapToGrid w:val="0"/>
          <w:color w:val="auto"/>
          <w:kern w:val="0"/>
          <w:sz w:val="24"/>
        </w:rPr>
      </w:pPr>
      <w:r>
        <w:rPr>
          <w:rFonts w:hint="eastAsia" w:ascii="宋体" w:hAnsi="宋体" w:cs="宋体"/>
          <w:b/>
          <w:snapToGrid w:val="0"/>
          <w:color w:val="auto"/>
          <w:kern w:val="0"/>
          <w:sz w:val="24"/>
          <w:lang w:eastAsia="zh-CN"/>
        </w:rPr>
        <w:t>②</w:t>
      </w:r>
      <w:r>
        <w:rPr>
          <w:rFonts w:hint="eastAsia" w:ascii="宋体" w:hAnsi="宋体" w:eastAsia="宋体" w:cs="宋体"/>
          <w:b/>
          <w:snapToGrid w:val="0"/>
          <w:color w:val="auto"/>
          <w:kern w:val="0"/>
          <w:sz w:val="24"/>
        </w:rPr>
        <w:t>完善党风廉政体系，加强师德师风教育。</w:t>
      </w:r>
      <w:r>
        <w:rPr>
          <w:rFonts w:hint="eastAsia" w:ascii="宋体" w:hAnsi="宋体" w:eastAsia="宋体" w:cs="宋体"/>
          <w:snapToGrid w:val="0"/>
          <w:color w:val="auto"/>
          <w:kern w:val="0"/>
          <w:sz w:val="24"/>
        </w:rPr>
        <w:t>落实上级党委、纪委部署，以党风廉政建设推进为工作机制，重点强化领导干部带头廉洁责任意识以及党员干部廉政风险警戒区块。以处事为单位签订《党风廉政责任书》17份；认真落实新提拔中层干部任职前廉政谈话，确保行政管理工作风清气正；组织教师认真学习《教师法》、《中小学教师职业道德规范》等文件；全体教师签订《不从事“有偿家教”承诺书》；每学期开展师德师风自查自纠工作；积极落实校务、党务公开，发展党员、评优评先、职称评聘、年度考核等各项工作，均按要求公示。</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rPr>
          <w:rFonts w:hint="eastAsia" w:ascii="宋体" w:hAnsi="宋体" w:eastAsia="宋体" w:cs="宋体"/>
          <w:snapToGrid w:val="0"/>
          <w:color w:val="auto"/>
          <w:kern w:val="0"/>
          <w:sz w:val="24"/>
        </w:rPr>
      </w:pPr>
      <w:r>
        <w:rPr>
          <w:rFonts w:hint="eastAsia" w:ascii="宋体" w:hAnsi="宋体" w:cs="宋体"/>
          <w:b/>
          <w:snapToGrid w:val="0"/>
          <w:color w:val="auto"/>
          <w:kern w:val="0"/>
          <w:sz w:val="24"/>
          <w:lang w:eastAsia="zh-CN"/>
        </w:rPr>
        <w:t>③</w:t>
      </w:r>
      <w:r>
        <w:rPr>
          <w:rFonts w:hint="eastAsia" w:ascii="宋体" w:hAnsi="宋体" w:eastAsia="宋体" w:cs="宋体"/>
          <w:b/>
          <w:snapToGrid w:val="0"/>
          <w:color w:val="auto"/>
          <w:kern w:val="0"/>
          <w:sz w:val="24"/>
        </w:rPr>
        <w:t>加强意识形态建设，落实工作职责。</w:t>
      </w:r>
      <w:r>
        <w:rPr>
          <w:rFonts w:hint="eastAsia" w:ascii="宋体" w:hAnsi="宋体" w:eastAsia="宋体" w:cs="宋体"/>
          <w:snapToGrid w:val="0"/>
          <w:color w:val="auto"/>
          <w:kern w:val="0"/>
          <w:sz w:val="24"/>
        </w:rPr>
        <w:t>我支部把抓意识形态工作作为组织生活会和党建述职的重要内容接受评议，管好门户网站、微信公众号等平台，加强对宣传舆论阵地微博、贴吧的管理，完善网络舆情分析预测处置机制，把握意识形态主动权。坚持正面宣传的方针，及时报道与师生学校密切相关的政策与动态，努力提升学校宣传水平。</w:t>
      </w:r>
    </w:p>
    <w:p>
      <w:pPr>
        <w:keepNext w:val="0"/>
        <w:keepLines w:val="0"/>
        <w:pageBreakBefore w:val="0"/>
        <w:widowControl w:val="0"/>
        <w:kinsoku/>
        <w:wordWrap/>
        <w:overflowPunct/>
        <w:topLinePunct w:val="0"/>
        <w:bidi w:val="0"/>
        <w:spacing w:before="156" w:beforeLines="50" w:after="156" w:afterLines="50" w:line="360" w:lineRule="auto"/>
        <w:ind w:left="0" w:leftChars="0" w:right="0" w:rightChars="0" w:firstLine="482" w:firstLineChars="200"/>
        <w:rPr>
          <w:rFonts w:hint="eastAsia" w:ascii="宋体" w:hAnsi="宋体" w:eastAsia="宋体" w:cs="宋体"/>
          <w:b/>
          <w:snapToGrid w:val="0"/>
          <w:color w:val="auto"/>
          <w:kern w:val="0"/>
          <w:sz w:val="24"/>
        </w:rPr>
      </w:pPr>
      <w:r>
        <w:rPr>
          <w:rFonts w:hint="eastAsia" w:ascii="宋体" w:hAnsi="宋体" w:cs="宋体"/>
          <w:b/>
          <w:snapToGrid w:val="0"/>
          <w:color w:val="auto"/>
          <w:kern w:val="0"/>
          <w:sz w:val="24"/>
          <w:lang w:eastAsia="zh-CN"/>
        </w:rPr>
        <w:t>（</w:t>
      </w:r>
      <w:r>
        <w:rPr>
          <w:rFonts w:hint="eastAsia" w:ascii="宋体" w:hAnsi="宋体" w:cs="宋体"/>
          <w:b/>
          <w:snapToGrid w:val="0"/>
          <w:color w:val="auto"/>
          <w:kern w:val="0"/>
          <w:sz w:val="24"/>
          <w:lang w:val="en-US" w:eastAsia="zh-CN"/>
        </w:rPr>
        <w:t>4</w:t>
      </w:r>
      <w:r>
        <w:rPr>
          <w:rFonts w:hint="eastAsia" w:ascii="宋体" w:hAnsi="宋体" w:cs="宋体"/>
          <w:b/>
          <w:snapToGrid w:val="0"/>
          <w:color w:val="auto"/>
          <w:kern w:val="0"/>
          <w:sz w:val="24"/>
          <w:lang w:eastAsia="zh-CN"/>
        </w:rPr>
        <w:t>）</w:t>
      </w:r>
      <w:r>
        <w:rPr>
          <w:rFonts w:hint="eastAsia" w:ascii="宋体" w:hAnsi="宋体" w:eastAsia="宋体" w:cs="宋体"/>
          <w:b/>
          <w:snapToGrid w:val="0"/>
          <w:color w:val="auto"/>
          <w:kern w:val="0"/>
          <w:sz w:val="24"/>
        </w:rPr>
        <w:t>紧扣“党建+工、妇、团”共建，构建文明和谐校园</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rPr>
          <w:rFonts w:hint="eastAsia" w:ascii="宋体" w:hAnsi="宋体" w:eastAsia="宋体" w:cs="宋体"/>
          <w:snapToGrid w:val="0"/>
          <w:color w:val="auto"/>
          <w:kern w:val="0"/>
          <w:sz w:val="24"/>
        </w:rPr>
      </w:pPr>
      <w:r>
        <w:rPr>
          <w:rFonts w:hint="eastAsia" w:ascii="宋体" w:hAnsi="宋体" w:cs="宋体"/>
          <w:b/>
          <w:snapToGrid w:val="0"/>
          <w:color w:val="auto"/>
          <w:kern w:val="0"/>
          <w:sz w:val="24"/>
          <w:lang w:eastAsia="zh-CN"/>
        </w:rPr>
        <w:t>①</w:t>
      </w:r>
      <w:r>
        <w:rPr>
          <w:rFonts w:hint="eastAsia" w:ascii="宋体" w:hAnsi="宋体" w:eastAsia="宋体" w:cs="宋体"/>
          <w:b/>
          <w:snapToGrid w:val="0"/>
          <w:color w:val="auto"/>
          <w:kern w:val="0"/>
          <w:sz w:val="24"/>
        </w:rPr>
        <w:t>发挥工会和妇委会作用，加强民主管理。</w:t>
      </w:r>
      <w:r>
        <w:rPr>
          <w:rFonts w:hint="eastAsia" w:ascii="宋体" w:hAnsi="宋体" w:eastAsia="宋体" w:cs="宋体"/>
          <w:snapToGrid w:val="0"/>
          <w:color w:val="auto"/>
          <w:kern w:val="0"/>
          <w:sz w:val="24"/>
        </w:rPr>
        <w:t>发挥工会和妇联作为党联系教职员工的桥梁和纽带作用，健全学校教职工代表大会制度。保障教职工参与学校民主管理、民主监督的权利和对学校重大事项决策的知情权、参与权。通过教职工代表大会，选出工会班子，重大事项交教职工代表大会审议，加强民主管理、民主监督作用。实施送温暖工程。工会组织全体教师参加健康体检；平时做好对生病、受伤、生产教职工的关心慰问工作；每月至少组织一次以上工会、妇委会活动，提高广大教职工的业余生活。</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rPr>
          <w:rFonts w:hint="eastAsia" w:ascii="宋体" w:hAnsi="宋体" w:eastAsia="宋体" w:cs="宋体"/>
          <w:snapToGrid w:val="0"/>
          <w:color w:val="auto"/>
          <w:kern w:val="0"/>
          <w:sz w:val="24"/>
        </w:rPr>
      </w:pPr>
      <w:r>
        <w:rPr>
          <w:rFonts w:hint="eastAsia" w:ascii="宋体" w:hAnsi="宋体" w:cs="宋体"/>
          <w:b/>
          <w:snapToGrid w:val="0"/>
          <w:color w:val="auto"/>
          <w:kern w:val="0"/>
          <w:sz w:val="24"/>
          <w:lang w:eastAsia="zh-CN"/>
        </w:rPr>
        <w:t>②</w:t>
      </w:r>
      <w:r>
        <w:rPr>
          <w:rFonts w:hint="eastAsia" w:ascii="宋体" w:hAnsi="宋体" w:eastAsia="宋体" w:cs="宋体"/>
          <w:b/>
          <w:snapToGrid w:val="0"/>
          <w:color w:val="auto"/>
          <w:kern w:val="0"/>
          <w:sz w:val="24"/>
        </w:rPr>
        <w:t>加强“党建带团建”，发挥共青团生力军作用。</w:t>
      </w:r>
      <w:r>
        <w:rPr>
          <w:rFonts w:hint="eastAsia" w:ascii="宋体" w:hAnsi="宋体" w:eastAsia="宋体" w:cs="宋体"/>
          <w:snapToGrid w:val="0"/>
          <w:color w:val="auto"/>
          <w:kern w:val="0"/>
          <w:sz w:val="24"/>
        </w:rPr>
        <w:t>指导团委紧紧围绕学校党政中心工作，以理想信念教育为核心，结合青年学生实际情况，开展形式多样的纪律教育、法制教育、规章制度教育，努力营造学校教育教学的和谐氛围，培养“四有新人”；办好每月一期天使讲堂；与有关部门一起开展具有教育意义、学生喜爱的文体活动，如：元旦文艺演出、校园文化艺术技能节、各类社团活动、校田径运动会等活动；业余党校每学年一期，全体党支部委员认真备课、为全体学员上好党课，学生结业率达100%。</w:t>
      </w:r>
    </w:p>
    <w:p>
      <w:pPr>
        <w:pStyle w:val="2"/>
        <w:keepNext w:val="0"/>
        <w:keepLines w:val="0"/>
        <w:adjustRightInd w:val="0"/>
        <w:snapToGrid w:val="0"/>
        <w:spacing w:before="156" w:beforeLines="50" w:line="360" w:lineRule="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4.校企合作</w:t>
      </w:r>
      <w:bookmarkEnd w:id="68"/>
      <w:bookmarkEnd w:id="69"/>
    </w:p>
    <w:p>
      <w:pPr>
        <w:pStyle w:val="3"/>
        <w:keepNext w:val="0"/>
        <w:keepLines w:val="0"/>
        <w:adjustRightInd w:val="0"/>
        <w:snapToGrid w:val="0"/>
        <w:spacing w:line="360" w:lineRule="auto"/>
        <w:ind w:firstLine="280" w:firstLineChars="100"/>
        <w:rPr>
          <w:rFonts w:hint="eastAsia"/>
          <w:b w:val="0"/>
          <w:color w:val="auto"/>
          <w:sz w:val="28"/>
          <w:szCs w:val="28"/>
          <w:lang w:val="en-US" w:eastAsia="zh-CN"/>
        </w:rPr>
      </w:pPr>
      <w:bookmarkStart w:id="70" w:name="_Toc22919"/>
      <w:bookmarkStart w:id="71" w:name="_Toc471905946"/>
      <w:r>
        <w:rPr>
          <w:rFonts w:hint="eastAsia"/>
          <w:b w:val="0"/>
          <w:color w:val="auto"/>
          <w:sz w:val="28"/>
          <w:szCs w:val="28"/>
          <w:lang w:val="en-US" w:eastAsia="zh-CN"/>
        </w:rPr>
        <w:t>4.1校企合作开展情况和效果</w:t>
      </w:r>
      <w:bookmarkEnd w:id="70"/>
      <w:bookmarkEnd w:id="71"/>
    </w:p>
    <w:p>
      <w:pPr>
        <w:adjustRightInd w:val="0"/>
        <w:snapToGrid w:val="0"/>
        <w:spacing w:line="360" w:lineRule="auto"/>
        <w:ind w:left="17" w:leftChars="8" w:firstLine="513" w:firstLineChars="214"/>
        <w:jc w:val="left"/>
        <w:rPr>
          <w:rFonts w:hint="eastAsia" w:cs="Times New Roman" w:asciiTheme="minorEastAsia" w:hAnsiTheme="minorEastAsia" w:eastAsiaTheme="minorEastAsia"/>
          <w:b w:val="0"/>
          <w:color w:val="auto"/>
          <w:kern w:val="2"/>
          <w:sz w:val="24"/>
          <w:szCs w:val="24"/>
          <w:highlight w:val="none"/>
          <w:lang w:val="en-US" w:eastAsia="zh-CN" w:bidi="ar-SA"/>
        </w:rPr>
      </w:pPr>
      <w:r>
        <w:rPr>
          <w:rFonts w:hint="eastAsia" w:cs="Times New Roman" w:asciiTheme="minorEastAsia" w:hAnsiTheme="minorEastAsia" w:eastAsiaTheme="minorEastAsia"/>
          <w:b w:val="0"/>
          <w:color w:val="auto"/>
          <w:kern w:val="2"/>
          <w:sz w:val="24"/>
          <w:szCs w:val="24"/>
          <w:highlight w:val="none"/>
          <w:lang w:val="en-US" w:eastAsia="zh-CN" w:bidi="ar-SA"/>
        </w:rPr>
        <w:t>学校根据专业办学特点，不断深化校企合作，健全校企合作机制，拓展合作内容，提升人才培养、技能培训和社会服务能力，实现了校企双赢。</w:t>
      </w:r>
    </w:p>
    <w:p>
      <w:pPr>
        <w:adjustRightInd w:val="0"/>
        <w:snapToGrid w:val="0"/>
        <w:spacing w:line="360" w:lineRule="auto"/>
        <w:ind w:left="17" w:leftChars="8" w:firstLine="393" w:firstLineChars="164"/>
        <w:jc w:val="left"/>
        <w:rPr>
          <w:rFonts w:hint="eastAsia" w:cs="Times New Roman" w:asciiTheme="minorEastAsia" w:hAnsiTheme="minorEastAsia" w:eastAsiaTheme="minorEastAsia"/>
          <w:b w:val="0"/>
          <w:color w:val="auto"/>
          <w:kern w:val="2"/>
          <w:sz w:val="24"/>
          <w:szCs w:val="24"/>
          <w:highlight w:val="none"/>
          <w:lang w:val="en-US" w:eastAsia="zh-CN" w:bidi="ar-SA"/>
        </w:rPr>
      </w:pPr>
      <w:r>
        <w:rPr>
          <w:rFonts w:hint="eastAsia" w:cs="Times New Roman" w:asciiTheme="minorEastAsia" w:hAnsiTheme="minorEastAsia" w:eastAsiaTheme="minorEastAsia"/>
          <w:b w:val="0"/>
          <w:color w:val="auto"/>
          <w:kern w:val="2"/>
          <w:sz w:val="24"/>
          <w:szCs w:val="24"/>
          <w:highlight w:val="none"/>
          <w:lang w:val="en-US" w:eastAsia="zh-CN" w:bidi="ar-SA"/>
        </w:rPr>
        <w:t>学校成立“校企合作工作领导小组”，由校长任组长，建立“专业指导委员会”和“实习实训管理委员会”，成员由企业、行业专家、专业技术骨干和学校职能部门、专业教师组成。 通过建立校企共建实训（实习）基地，共建专业人才培养模式、开展订单培养等方式，有效整合与统筹行业、企业的教育教学资源、技能实训资源。截至2017年12月，学校已在全省建立签约合作的各专业校外实训实习基地72家；与与杭州口腔医院城西分院海宁分院、许村中心卫生院、海宁市海洲街道卫生院等9家企业和医疗机构签订《校企订单培养协议书》，针对合作单位所需的专业技术型人才，共同制定人才培养方案，并在师资、技术、设备等办学条件方面合作；与嘉兴湘家荡颐养中心共同成立养老护理产学研基地，开展养老产业急需的养老护理人才培养模式和体系研究实践；与海港医药开始校企合作人才一体化培养模式的探索，签订《校企合作培养协议书》，开设药剂专业“海港班”，设立“海港奖学金”，每学期奖励在学习上成绩突出的学生，引导和吸引学生就业。</w:t>
      </w:r>
    </w:p>
    <w:p>
      <w:pPr>
        <w:pStyle w:val="3"/>
        <w:keepNext w:val="0"/>
        <w:keepLines w:val="0"/>
        <w:adjustRightInd w:val="0"/>
        <w:snapToGrid w:val="0"/>
        <w:spacing w:line="360" w:lineRule="auto"/>
        <w:ind w:firstLine="280" w:firstLineChars="100"/>
        <w:rPr>
          <w:b w:val="0"/>
          <w:color w:val="auto"/>
          <w:sz w:val="28"/>
          <w:szCs w:val="28"/>
        </w:rPr>
      </w:pPr>
      <w:bookmarkStart w:id="72" w:name="_Toc30502"/>
      <w:bookmarkStart w:id="73" w:name="_Toc471905947"/>
      <w:r>
        <w:rPr>
          <w:rFonts w:hint="eastAsia"/>
          <w:b w:val="0"/>
          <w:color w:val="auto"/>
          <w:sz w:val="28"/>
          <w:szCs w:val="28"/>
        </w:rPr>
        <w:t>4.2学生实习情况</w:t>
      </w:r>
      <w:bookmarkEnd w:id="72"/>
      <w:bookmarkEnd w:id="73"/>
    </w:p>
    <w:p>
      <w:pPr>
        <w:adjustRightInd w:val="0"/>
        <w:snapToGrid w:val="0"/>
        <w:spacing w:line="360" w:lineRule="auto"/>
        <w:ind w:left="17" w:leftChars="8" w:firstLine="393" w:firstLineChars="164"/>
        <w:jc w:val="left"/>
        <w:rPr>
          <w:rFonts w:hint="eastAsia" w:cs="Times New Roman" w:asciiTheme="minorEastAsia" w:hAnsiTheme="minorEastAsia" w:eastAsiaTheme="minorEastAsia"/>
          <w:b w:val="0"/>
          <w:color w:val="auto"/>
          <w:kern w:val="2"/>
          <w:sz w:val="24"/>
          <w:szCs w:val="24"/>
          <w:highlight w:val="none"/>
          <w:lang w:val="en-US" w:eastAsia="zh-CN" w:bidi="ar-SA"/>
        </w:rPr>
      </w:pPr>
      <w:r>
        <w:rPr>
          <w:rFonts w:hint="eastAsia" w:cs="Times New Roman" w:asciiTheme="minorEastAsia" w:hAnsiTheme="minorEastAsia" w:eastAsiaTheme="minorEastAsia"/>
          <w:b w:val="0"/>
          <w:color w:val="auto"/>
          <w:kern w:val="2"/>
          <w:sz w:val="24"/>
          <w:szCs w:val="24"/>
          <w:highlight w:val="none"/>
          <w:lang w:val="en-US" w:eastAsia="zh-CN" w:bidi="ar-SA"/>
        </w:rPr>
        <w:t>学校认真执行国家教育部的相关实习规定，结合医药卫生类专业临床实习规范，成立学校实习管理工作领导小组和实习实训管理处，严格按照学校《实习生管理制度》、《实习生准入制度》、《专业实习大纲》等规范性制度，强化实习前教育和家校沟通、细化实习期间的过程管理、量化实习后的考核评价，规范组织和安排学生实习工作。</w:t>
      </w:r>
    </w:p>
    <w:p>
      <w:pPr>
        <w:adjustRightInd w:val="0"/>
        <w:snapToGrid w:val="0"/>
        <w:spacing w:line="360" w:lineRule="auto"/>
        <w:ind w:left="17" w:leftChars="8" w:firstLine="393" w:firstLineChars="164"/>
        <w:jc w:val="left"/>
        <w:rPr>
          <w:rFonts w:hint="eastAsia" w:cs="Times New Roman" w:asciiTheme="minorEastAsia" w:hAnsiTheme="minorEastAsia" w:eastAsiaTheme="minorEastAsia"/>
          <w:b w:val="0"/>
          <w:color w:val="auto"/>
          <w:kern w:val="2"/>
          <w:sz w:val="24"/>
          <w:szCs w:val="24"/>
          <w:highlight w:val="none"/>
          <w:lang w:val="en-US" w:eastAsia="zh-CN" w:bidi="ar-SA"/>
        </w:rPr>
      </w:pPr>
      <w:r>
        <w:rPr>
          <w:rFonts w:hint="eastAsia" w:cs="Times New Roman" w:asciiTheme="minorEastAsia" w:hAnsiTheme="minorEastAsia" w:eastAsiaTheme="minorEastAsia"/>
          <w:b w:val="0"/>
          <w:color w:val="auto"/>
          <w:kern w:val="2"/>
          <w:sz w:val="24"/>
          <w:szCs w:val="24"/>
          <w:highlight w:val="none"/>
          <w:lang w:val="en-US" w:eastAsia="zh-CN" w:bidi="ar-SA"/>
        </w:rPr>
        <w:t xml:space="preserve">     2017年，15级毕业实习学生为899人，其中护理专业 522人，助产60人，药剂专业186人 ，医学检验技术专业84人，医学影像专业47。截至2017年12日，通过与实习单位定期工作联系、组织实习检查、实习小组月报、班主任管理等途径反馈，我校实习学生在工作纪律、综合素养、专业技能、理论知识水平等方面普遍得到实习单位的肯定，对我校实习生满意度调查的54家实习单位中，满意50家，较满意3家，满意率为98.1%。多名实习生受到医院表扬，其中宁波大学附属医院护理专业实习生张辉同学获得医院组织的心肺复苏比赛二等奖，并收到患者的表扬信。 </w:t>
      </w:r>
    </w:p>
    <w:p>
      <w:pPr>
        <w:pStyle w:val="3"/>
        <w:keepNext w:val="0"/>
        <w:keepLines w:val="0"/>
        <w:adjustRightInd w:val="0"/>
        <w:snapToGrid w:val="0"/>
        <w:spacing w:before="156" w:beforeLines="50" w:line="360" w:lineRule="auto"/>
        <w:ind w:firstLine="280" w:firstLineChars="100"/>
        <w:rPr>
          <w:b w:val="0"/>
          <w:color w:val="auto"/>
          <w:sz w:val="28"/>
          <w:szCs w:val="28"/>
        </w:rPr>
      </w:pPr>
      <w:bookmarkStart w:id="74" w:name="_Toc1623"/>
      <w:bookmarkStart w:id="75" w:name="_Toc471905948"/>
      <w:r>
        <w:rPr>
          <w:rFonts w:hint="eastAsia"/>
          <w:b w:val="0"/>
          <w:color w:val="auto"/>
          <w:sz w:val="28"/>
          <w:szCs w:val="28"/>
        </w:rPr>
        <w:t>4.3集团化办学情况</w:t>
      </w:r>
      <w:bookmarkEnd w:id="74"/>
      <w:bookmarkEnd w:id="75"/>
    </w:p>
    <w:p>
      <w:pPr>
        <w:adjustRightInd w:val="0"/>
        <w:snapToGrid w:val="0"/>
        <w:spacing w:line="360" w:lineRule="auto"/>
        <w:ind w:left="17" w:leftChars="8" w:firstLine="393" w:firstLineChars="164"/>
        <w:jc w:val="left"/>
        <w:rPr>
          <w:rFonts w:hint="eastAsia" w:cs="Times New Roman" w:asciiTheme="minorEastAsia" w:hAnsiTheme="minorEastAsia" w:eastAsiaTheme="minorEastAsia"/>
          <w:b w:val="0"/>
          <w:color w:val="auto"/>
          <w:kern w:val="2"/>
          <w:sz w:val="24"/>
          <w:szCs w:val="24"/>
          <w:highlight w:val="none"/>
          <w:lang w:val="en-US" w:eastAsia="zh-CN" w:bidi="ar-SA"/>
        </w:rPr>
      </w:pPr>
      <w:r>
        <w:rPr>
          <w:rFonts w:hint="eastAsia" w:cs="Times New Roman" w:asciiTheme="minorEastAsia" w:hAnsiTheme="minorEastAsia" w:eastAsiaTheme="minorEastAsia"/>
          <w:b w:val="0"/>
          <w:color w:val="auto"/>
          <w:kern w:val="2"/>
          <w:sz w:val="24"/>
          <w:szCs w:val="24"/>
          <w:highlight w:val="none"/>
          <w:lang w:val="en-US" w:eastAsia="zh-CN" w:bidi="ar-SA"/>
        </w:rPr>
        <w:t>学校牵头成立“海宁市健康教育协会”，目前拥有会员单位20家，积极开展会员单位和社会健康教育促进工作；2017年，学校新增一所合作高校，目前与全省7所高等院校合作办学。与浙江医药高等专科学校共同组建“浙江医药职业教育联盟”并担任副事长单位；参与杭州医学院牵头的“浙江医学职业教育集团”，为主要成员，参与宁波卫生职业技术学院牵头的“健康服务类人才中高职一体化培养教育联盟”；参与金华职业技术学院、衢州职业技术学院、舟山新区旅游与健康职业技术学院的教学联盟；新增了与台州职业技术学院护理专业五年一贯制人才培养合作。成立“海宁卫生学校专业指导委员会”与各医疗卫生单位及医药企业合作开展教改活动，探讨研究教学内容、教学方法和评价体系的改革，编制专业指导方案、校本教材，毕业实习方案和实习手册。2017年学校继续被评为“宁波卫生职业技术学院健康服务类人才中高职一体化培养教育联盟”工作先进单位。</w:t>
      </w:r>
    </w:p>
    <w:p>
      <w:pPr>
        <w:pStyle w:val="2"/>
        <w:keepNext w:val="0"/>
        <w:keepLines w:val="0"/>
        <w:adjustRightInd w:val="0"/>
        <w:snapToGrid w:val="0"/>
        <w:spacing w:before="156" w:beforeLines="50" w:line="360" w:lineRule="auto"/>
        <w:rPr>
          <w:rFonts w:ascii="黑体" w:hAnsi="黑体" w:eastAsia="黑体" w:cs="黑体"/>
          <w:color w:val="auto"/>
          <w:sz w:val="30"/>
          <w:szCs w:val="30"/>
        </w:rPr>
      </w:pPr>
      <w:bookmarkStart w:id="76" w:name="_Toc27397"/>
      <w:bookmarkStart w:id="77" w:name="_Toc471905950"/>
      <w:r>
        <w:rPr>
          <w:rFonts w:hint="eastAsia" w:ascii="黑体" w:hAnsi="黑体" w:eastAsia="黑体" w:cs="黑体"/>
          <w:color w:val="auto"/>
          <w:sz w:val="30"/>
          <w:szCs w:val="30"/>
        </w:rPr>
        <w:t>5.社会贡献</w:t>
      </w:r>
      <w:bookmarkEnd w:id="76"/>
      <w:bookmarkEnd w:id="77"/>
    </w:p>
    <w:p>
      <w:pPr>
        <w:pStyle w:val="3"/>
        <w:keepNext w:val="0"/>
        <w:keepLines w:val="0"/>
        <w:adjustRightInd w:val="0"/>
        <w:snapToGrid w:val="0"/>
        <w:spacing w:line="360" w:lineRule="auto"/>
        <w:ind w:firstLine="280" w:firstLineChars="100"/>
        <w:rPr>
          <w:b w:val="0"/>
          <w:color w:val="auto"/>
          <w:sz w:val="28"/>
          <w:szCs w:val="28"/>
        </w:rPr>
      </w:pPr>
      <w:bookmarkStart w:id="78" w:name="_Toc471905951"/>
      <w:bookmarkStart w:id="79" w:name="_Toc26346"/>
      <w:r>
        <w:rPr>
          <w:rFonts w:hint="eastAsia"/>
          <w:b w:val="0"/>
          <w:color w:val="auto"/>
          <w:sz w:val="28"/>
          <w:szCs w:val="28"/>
        </w:rPr>
        <w:t>5.1技术技能人才培养</w:t>
      </w:r>
      <w:bookmarkEnd w:id="78"/>
      <w:bookmarkEnd w:id="79"/>
    </w:p>
    <w:p>
      <w:pPr>
        <w:adjustRightInd w:val="0"/>
        <w:snapToGrid w:val="0"/>
        <w:spacing w:line="360" w:lineRule="auto"/>
        <w:ind w:left="17" w:leftChars="8" w:firstLine="393" w:firstLineChars="164"/>
        <w:jc w:val="left"/>
        <w:rPr>
          <w:rFonts w:hint="eastAsia" w:cs="Times New Roman" w:asciiTheme="minorEastAsia" w:hAnsiTheme="minorEastAsia" w:eastAsiaTheme="minorEastAsia"/>
          <w:b w:val="0"/>
          <w:color w:val="auto"/>
          <w:kern w:val="2"/>
          <w:sz w:val="24"/>
          <w:szCs w:val="24"/>
          <w:highlight w:val="none"/>
          <w:lang w:val="en-US" w:eastAsia="zh-CN" w:bidi="ar-SA"/>
        </w:rPr>
      </w:pPr>
      <w:bookmarkStart w:id="80" w:name="_Toc4958"/>
      <w:bookmarkStart w:id="81" w:name="_Toc471905952"/>
      <w:r>
        <w:rPr>
          <w:rFonts w:hint="eastAsia" w:cs="Times New Roman" w:asciiTheme="minorEastAsia" w:hAnsiTheme="minorEastAsia" w:eastAsiaTheme="minorEastAsia"/>
          <w:b w:val="0"/>
          <w:color w:val="auto"/>
          <w:kern w:val="2"/>
          <w:sz w:val="24"/>
          <w:szCs w:val="24"/>
          <w:highlight w:val="none"/>
          <w:lang w:val="en-US" w:eastAsia="zh-CN" w:bidi="ar-SA"/>
        </w:rPr>
        <w:t>学校接轨区域卫生行业和健康服务产业的快速发展，充分发挥学校医药卫生专业的优势。2016年，共培养中等医药卫生技能型人才863名，其中为全省基层医疗卫生机构、社会养老服务机构等直接输送“下得去、用得上、留得住”的初、中级实用型、技能型服务人才172名，向省内高校输送优质生源691名，深受行业企业和高校好评。用人单位满意度调查满意率达98.1%；升入高校学生综合素养好，专业技能扎实，受到杭州医学院、金华职业技术学院、宁波卫生</w:t>
      </w:r>
      <w:bookmarkStart w:id="82" w:name="_Toc433043579"/>
      <w:bookmarkStart w:id="83" w:name="_Toc433043218"/>
      <w:r>
        <w:rPr>
          <w:rFonts w:hint="eastAsia" w:cs="Times New Roman" w:asciiTheme="minorEastAsia" w:hAnsiTheme="minorEastAsia" w:eastAsiaTheme="minorEastAsia"/>
          <w:b w:val="0"/>
          <w:color w:val="auto"/>
          <w:kern w:val="2"/>
          <w:sz w:val="24"/>
          <w:szCs w:val="24"/>
          <w:highlight w:val="none"/>
          <w:lang w:val="en-US" w:eastAsia="zh-CN" w:bidi="ar-SA"/>
        </w:rPr>
        <w:t xml:space="preserve">职业技术学院等高校的好评。 </w:t>
      </w:r>
    </w:p>
    <w:bookmarkEnd w:id="82"/>
    <w:bookmarkEnd w:id="83"/>
    <w:p>
      <w:pPr>
        <w:pStyle w:val="3"/>
        <w:keepNext w:val="0"/>
        <w:keepLines w:val="0"/>
        <w:adjustRightInd w:val="0"/>
        <w:snapToGrid w:val="0"/>
        <w:spacing w:line="360" w:lineRule="auto"/>
        <w:ind w:firstLine="280" w:firstLineChars="100"/>
        <w:rPr>
          <w:b w:val="0"/>
          <w:color w:val="auto"/>
          <w:sz w:val="28"/>
          <w:szCs w:val="28"/>
        </w:rPr>
      </w:pPr>
      <w:r>
        <w:rPr>
          <w:rFonts w:hint="eastAsia"/>
          <w:b w:val="0"/>
          <w:color w:val="auto"/>
          <w:sz w:val="28"/>
          <w:szCs w:val="28"/>
        </w:rPr>
        <w:t>5.2社会服务</w:t>
      </w:r>
      <w:bookmarkEnd w:id="80"/>
      <w:bookmarkEnd w:id="81"/>
      <w:bookmarkStart w:id="84" w:name="_Toc5063"/>
    </w:p>
    <w:p>
      <w:pPr>
        <w:pStyle w:val="3"/>
        <w:keepNext w:val="0"/>
        <w:keepLines w:val="0"/>
        <w:adjustRightInd w:val="0"/>
        <w:snapToGrid w:val="0"/>
        <w:spacing w:line="360" w:lineRule="auto"/>
        <w:ind w:firstLine="480" w:firstLineChars="200"/>
        <w:rPr>
          <w:rFonts w:asciiTheme="minorEastAsia" w:hAnsiTheme="minorEastAsia" w:eastAsiaTheme="minorEastAsia"/>
          <w:b w:val="0"/>
          <w:color w:val="auto"/>
          <w:sz w:val="28"/>
          <w:szCs w:val="28"/>
        </w:rPr>
      </w:pPr>
      <w:bookmarkStart w:id="85" w:name="_Toc471905953"/>
      <w:bookmarkStart w:id="86" w:name="_Toc471905476"/>
      <w:r>
        <w:rPr>
          <w:rFonts w:hint="eastAsia" w:cs="Times New Roman" w:asciiTheme="minorEastAsia" w:hAnsiTheme="minorEastAsia" w:eastAsiaTheme="minorEastAsia"/>
          <w:b w:val="0"/>
          <w:color w:val="auto"/>
          <w:kern w:val="2"/>
          <w:sz w:val="24"/>
          <w:szCs w:val="24"/>
          <w:highlight w:val="none"/>
          <w:lang w:val="en-US" w:eastAsia="zh-CN" w:bidi="ar-SA"/>
        </w:rPr>
        <w:t>继续坚持开放办学，充分利用专业教学资源和优质师资力量，主动搭建各类培训平台，主动搭建各类培训平台，建有浙江省护理人才培养基地海宁分基地、海宁市卫生培训中心、海宁市健康教育协会理事长单位，海宁市养老服务护理人才培训基地，海宁市人社局职业技能鉴定站，海宁市红十字应急救护培训基地等社会培训服务平台，积极开展社会培训服务。2017年度，与浙江大学、杭州师范学院、绍兴文理学院、杭州医学院、嘉兴教育学院合作开展成人高等学历教育1291人；开展的行业岗位培训有社区护理岗位培训、乡村医生注册培训、执业医师考前辅导等，共计770人；开展社会培训有育婴员培训考证、养老护理员培训、普高职业教育课程培训、红十字救护员培训等，共计4122人；总计达6183人。编写《海宁药用植物100种》、《安全用药常识》、《养老护理岗位培训教程》等“健康海宁”社会科普读物和培训教材3本，承办海宁市科协主办的2017年全国科普日既海宁市金秋学术节，为地方医疗卫生事业、健康服务产业和社会经济发展服务，学校辐射力和影响力不断提升。</w:t>
      </w:r>
      <w:bookmarkEnd w:id="84"/>
      <w:bookmarkEnd w:id="85"/>
      <w:bookmarkEnd w:id="86"/>
    </w:p>
    <w:p>
      <w:pPr>
        <w:pStyle w:val="3"/>
        <w:keepNext w:val="0"/>
        <w:keepLines w:val="0"/>
        <w:adjustRightInd w:val="0"/>
        <w:snapToGrid w:val="0"/>
        <w:spacing w:line="360" w:lineRule="auto"/>
        <w:ind w:firstLine="280" w:firstLineChars="100"/>
        <w:rPr>
          <w:b w:val="0"/>
          <w:color w:val="auto"/>
          <w:sz w:val="28"/>
          <w:szCs w:val="28"/>
        </w:rPr>
      </w:pPr>
      <w:bookmarkStart w:id="87" w:name="_Toc471905954"/>
      <w:r>
        <w:rPr>
          <w:rFonts w:hint="eastAsia"/>
          <w:b w:val="0"/>
          <w:color w:val="auto"/>
          <w:sz w:val="28"/>
          <w:szCs w:val="28"/>
        </w:rPr>
        <w:t>5.3对口支援</w:t>
      </w:r>
      <w:bookmarkEnd w:id="87"/>
    </w:p>
    <w:p>
      <w:pPr>
        <w:widowControl/>
        <w:snapToGrid w:val="0"/>
        <w:spacing w:line="360" w:lineRule="auto"/>
        <w:ind w:firstLine="480" w:firstLineChars="200"/>
        <w:jc w:val="left"/>
        <w:outlineLvl w:val="2"/>
        <w:rPr>
          <w:rFonts w:ascii="Verdana" w:hAnsi="Verdana" w:cs="宋体"/>
          <w:color w:val="auto"/>
          <w:kern w:val="0"/>
          <w:sz w:val="24"/>
          <w:szCs w:val="22"/>
        </w:rPr>
      </w:pPr>
      <w:bookmarkStart w:id="88" w:name="_Toc467049637"/>
      <w:bookmarkStart w:id="89" w:name="_Toc471905955"/>
      <w:r>
        <w:rPr>
          <w:rFonts w:hint="eastAsia" w:ascii="Verdana" w:hAnsi="Verdana" w:cs="宋体"/>
          <w:color w:val="auto"/>
          <w:kern w:val="0"/>
          <w:sz w:val="24"/>
          <w:szCs w:val="22"/>
        </w:rPr>
        <w:t>积极承</w:t>
      </w:r>
      <w:r>
        <w:rPr>
          <w:rFonts w:hint="eastAsia" w:cs="宋体" w:asciiTheme="minorEastAsia" w:hAnsiTheme="minorEastAsia" w:eastAsiaTheme="minorEastAsia"/>
          <w:color w:val="auto"/>
          <w:kern w:val="0"/>
          <w:sz w:val="24"/>
          <w:szCs w:val="22"/>
        </w:rPr>
        <w:t>担浙江省职业教育师资培训中心“校长领航工程——广西省中职学校名校长培养工程”项目，承接了广西南宁卫校、桂东卫校两位校长的蹲点领航培训和广西其它卫生学校分管领导、职能处室领导的考察学习。</w:t>
      </w:r>
      <w:r>
        <w:rPr>
          <w:rFonts w:hint="eastAsia" w:cs="宋体" w:asciiTheme="minorEastAsia" w:hAnsiTheme="minorEastAsia" w:eastAsiaTheme="minorEastAsia"/>
          <w:color w:val="auto"/>
          <w:kern w:val="0"/>
          <w:sz w:val="24"/>
          <w:szCs w:val="22"/>
          <w:lang w:eastAsia="zh-CN"/>
        </w:rPr>
        <w:t>2017</w:t>
      </w:r>
      <w:r>
        <w:rPr>
          <w:rFonts w:hint="eastAsia" w:cs="宋体" w:asciiTheme="minorEastAsia" w:hAnsiTheme="minorEastAsia" w:eastAsiaTheme="minorEastAsia"/>
          <w:color w:val="auto"/>
          <w:kern w:val="0"/>
          <w:sz w:val="24"/>
          <w:szCs w:val="22"/>
        </w:rPr>
        <w:t>年共接待省内外同类兄弟学校到校考察学习10多批次</w:t>
      </w:r>
      <w:bookmarkEnd w:id="88"/>
      <w:bookmarkStart w:id="90" w:name="_Toc467049638"/>
      <w:r>
        <w:rPr>
          <w:rFonts w:hint="eastAsia" w:cs="宋体" w:asciiTheme="minorEastAsia" w:hAnsiTheme="minorEastAsia" w:eastAsiaTheme="minorEastAsia"/>
          <w:color w:val="auto"/>
          <w:kern w:val="0"/>
          <w:sz w:val="24"/>
          <w:szCs w:val="22"/>
        </w:rPr>
        <w:t>。作为省内卫生类中职学校中第一所省改革发展示范校建设学校，充分发挥省中职医护中心教研大组理事长学校作用，开展全省中职卫生类学校示范校建设、选择性课改、师生技能竞赛等教育教学工作交流，发挥了良好的引领和带动作用。</w:t>
      </w:r>
      <w:bookmarkEnd w:id="90"/>
      <w:r>
        <w:rPr>
          <w:rFonts w:hint="eastAsia" w:cs="宋体" w:asciiTheme="minorEastAsia" w:hAnsiTheme="minorEastAsia" w:eastAsiaTheme="minorEastAsia"/>
          <w:color w:val="auto"/>
          <w:kern w:val="0"/>
          <w:sz w:val="24"/>
          <w:szCs w:val="22"/>
        </w:rPr>
        <w:t>积极承担海宁市内普通高中职业技能课的教学任务，主动为海宁市高级中学、海宁紫微高级中学、海宁市宏达高级中学</w:t>
      </w:r>
      <w:r>
        <w:rPr>
          <w:rFonts w:hint="eastAsia" w:ascii="Verdana" w:hAnsi="Verdana" w:cs="宋体"/>
          <w:color w:val="auto"/>
          <w:kern w:val="0"/>
          <w:sz w:val="24"/>
          <w:szCs w:val="22"/>
        </w:rPr>
        <w:t>等开设《医护急救》、《安全用药》、《医疗保健》等职业技能课程，</w:t>
      </w:r>
      <w:r>
        <w:rPr>
          <w:rFonts w:hint="eastAsia" w:ascii="宋体" w:hAnsi="宋体"/>
          <w:color w:val="auto"/>
          <w:sz w:val="24"/>
        </w:rPr>
        <w:t>提高了普通高中学生对卫生类专业的认识，助推普通高中课程改革。</w:t>
      </w:r>
      <w:bookmarkEnd w:id="89"/>
    </w:p>
    <w:p>
      <w:pPr>
        <w:pStyle w:val="2"/>
        <w:keepNext w:val="0"/>
        <w:keepLines w:val="0"/>
        <w:adjustRightInd w:val="0"/>
        <w:snapToGrid w:val="0"/>
        <w:spacing w:before="156" w:beforeLines="50" w:line="360" w:lineRule="auto"/>
        <w:rPr>
          <w:rFonts w:ascii="黑体" w:hAnsi="黑体" w:eastAsia="黑体" w:cs="黑体"/>
          <w:color w:val="auto"/>
          <w:sz w:val="30"/>
          <w:szCs w:val="30"/>
        </w:rPr>
      </w:pPr>
      <w:bookmarkStart w:id="91" w:name="_Toc471905956"/>
      <w:bookmarkStart w:id="92" w:name="_Toc31333"/>
      <w:r>
        <w:rPr>
          <w:rFonts w:hint="eastAsia" w:ascii="黑体" w:hAnsi="黑体" w:eastAsia="黑体" w:cs="黑体"/>
          <w:color w:val="auto"/>
          <w:sz w:val="30"/>
          <w:szCs w:val="30"/>
        </w:rPr>
        <w:t>6.举办者履责</w:t>
      </w:r>
      <w:bookmarkEnd w:id="91"/>
    </w:p>
    <w:p>
      <w:pPr>
        <w:pStyle w:val="3"/>
        <w:keepNext w:val="0"/>
        <w:keepLines w:val="0"/>
        <w:adjustRightInd w:val="0"/>
        <w:snapToGrid w:val="0"/>
        <w:spacing w:line="360" w:lineRule="auto"/>
        <w:ind w:firstLine="280" w:firstLineChars="100"/>
        <w:rPr>
          <w:b w:val="0"/>
          <w:color w:val="auto"/>
          <w:sz w:val="28"/>
          <w:szCs w:val="28"/>
        </w:rPr>
      </w:pPr>
      <w:bookmarkStart w:id="93" w:name="_Toc471905957"/>
      <w:r>
        <w:rPr>
          <w:rFonts w:hint="eastAsia"/>
          <w:b w:val="0"/>
          <w:color w:val="auto"/>
          <w:sz w:val="28"/>
          <w:szCs w:val="28"/>
        </w:rPr>
        <w:t>6.1经费</w:t>
      </w:r>
      <w:bookmarkEnd w:id="93"/>
    </w:p>
    <w:p>
      <w:pPr>
        <w:pStyle w:val="3"/>
        <w:keepNext w:val="0"/>
        <w:keepLines w:val="0"/>
        <w:adjustRightInd w:val="0"/>
        <w:snapToGrid w:val="0"/>
        <w:spacing w:line="360" w:lineRule="auto"/>
        <w:ind w:firstLine="480" w:firstLineChars="200"/>
        <w:rPr>
          <w:rFonts w:hint="eastAsia" w:cs="Times New Roman" w:asciiTheme="minorEastAsia" w:hAnsiTheme="minorEastAsia" w:eastAsiaTheme="minorEastAsia"/>
          <w:b w:val="0"/>
          <w:color w:val="auto"/>
          <w:kern w:val="2"/>
          <w:sz w:val="24"/>
          <w:szCs w:val="24"/>
          <w:highlight w:val="none"/>
          <w:lang w:val="en-US" w:eastAsia="zh-CN" w:bidi="ar-SA"/>
        </w:rPr>
      </w:pPr>
      <w:bookmarkStart w:id="94" w:name="_Toc471905958"/>
      <w:bookmarkStart w:id="95" w:name="_Toc471905481"/>
      <w:r>
        <w:rPr>
          <w:rFonts w:hint="eastAsia" w:cs="Times New Roman" w:asciiTheme="minorEastAsia" w:hAnsiTheme="minorEastAsia" w:eastAsiaTheme="minorEastAsia"/>
          <w:b w:val="0"/>
          <w:color w:val="auto"/>
          <w:kern w:val="2"/>
          <w:sz w:val="24"/>
          <w:szCs w:val="24"/>
          <w:highlight w:val="none"/>
          <w:lang w:val="en-US" w:eastAsia="zh-CN" w:bidi="ar-SA"/>
        </w:rPr>
        <w:t>2017年度市政府财政预算安排收入和预算外收入共计3764.31万元，国家助学金、免代收费、营养餐等专项25.60万元。生均办学经费达11197元。</w:t>
      </w:r>
      <w:bookmarkEnd w:id="94"/>
      <w:bookmarkEnd w:id="95"/>
    </w:p>
    <w:p>
      <w:pPr>
        <w:pStyle w:val="3"/>
        <w:keepNext w:val="0"/>
        <w:keepLines w:val="0"/>
        <w:adjustRightInd w:val="0"/>
        <w:snapToGrid w:val="0"/>
        <w:spacing w:line="360" w:lineRule="auto"/>
        <w:ind w:firstLine="280" w:firstLineChars="100"/>
        <w:rPr>
          <w:b w:val="0"/>
          <w:color w:val="auto"/>
          <w:sz w:val="28"/>
          <w:szCs w:val="28"/>
        </w:rPr>
      </w:pPr>
      <w:bookmarkStart w:id="96" w:name="_Toc471905959"/>
      <w:r>
        <w:rPr>
          <w:rFonts w:hint="eastAsia"/>
          <w:b w:val="0"/>
          <w:color w:val="auto"/>
          <w:sz w:val="28"/>
          <w:szCs w:val="28"/>
        </w:rPr>
        <w:t>6.2政策措施</w:t>
      </w:r>
      <w:bookmarkEnd w:id="96"/>
    </w:p>
    <w:p>
      <w:pPr>
        <w:pStyle w:val="3"/>
        <w:keepNext w:val="0"/>
        <w:keepLines w:val="0"/>
        <w:adjustRightInd w:val="0"/>
        <w:snapToGrid w:val="0"/>
        <w:spacing w:line="360" w:lineRule="auto"/>
        <w:ind w:firstLine="240" w:firstLineChars="100"/>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 xml:space="preserve">  </w:t>
      </w:r>
      <w:bookmarkStart w:id="97" w:name="_Toc471905483"/>
      <w:bookmarkStart w:id="98" w:name="_Toc471905960"/>
      <w:r>
        <w:rPr>
          <w:rFonts w:hint="eastAsia" w:asciiTheme="minorEastAsia" w:hAnsiTheme="minorEastAsia" w:eastAsiaTheme="minorEastAsia"/>
          <w:b w:val="0"/>
          <w:color w:val="auto"/>
          <w:kern w:val="0"/>
          <w:sz w:val="24"/>
          <w:lang w:eastAsia="zh-CN"/>
        </w:rPr>
        <w:t>2017</w:t>
      </w:r>
      <w:r>
        <w:rPr>
          <w:rFonts w:hint="eastAsia" w:asciiTheme="minorEastAsia" w:hAnsiTheme="minorEastAsia" w:eastAsiaTheme="minorEastAsia"/>
          <w:b w:val="0"/>
          <w:color w:val="auto"/>
          <w:sz w:val="24"/>
        </w:rPr>
        <w:t>年，海宁市政府、卫生和计划生育局、教育局全力支持</w:t>
      </w:r>
      <w:r>
        <w:rPr>
          <w:rFonts w:hint="eastAsia" w:asciiTheme="minorEastAsia" w:hAnsiTheme="minorEastAsia" w:eastAsiaTheme="minorEastAsia"/>
          <w:b w:val="0"/>
          <w:color w:val="auto"/>
          <w:sz w:val="24"/>
          <w:lang w:eastAsia="zh-CN"/>
        </w:rPr>
        <w:t>学校</w:t>
      </w:r>
      <w:r>
        <w:rPr>
          <w:rFonts w:hint="eastAsia" w:asciiTheme="minorEastAsia" w:hAnsiTheme="minorEastAsia" w:eastAsiaTheme="minorEastAsia"/>
          <w:b w:val="0"/>
          <w:color w:val="auto"/>
          <w:sz w:val="24"/>
        </w:rPr>
        <w:t>浙江省第二批中</w:t>
      </w:r>
      <w:r>
        <w:rPr>
          <w:rFonts w:hint="eastAsia" w:asciiTheme="minorEastAsia" w:hAnsiTheme="minorEastAsia" w:eastAsiaTheme="minorEastAsia"/>
          <w:b w:val="0"/>
          <w:color w:val="auto"/>
          <w:kern w:val="0"/>
          <w:sz w:val="24"/>
        </w:rPr>
        <w:t>等职业</w:t>
      </w:r>
      <w:r>
        <w:rPr>
          <w:rFonts w:hint="eastAsia" w:asciiTheme="minorEastAsia" w:hAnsiTheme="minorEastAsia" w:eastAsiaTheme="minorEastAsia"/>
          <w:b w:val="0"/>
          <w:color w:val="auto"/>
          <w:sz w:val="24"/>
        </w:rPr>
        <w:t>教育改革发展示范校项目建设，在配套资金、迎接评估验收方面给予全力政策保障和支持，分管市</w:t>
      </w:r>
      <w:r>
        <w:rPr>
          <w:rFonts w:hint="eastAsia" w:asciiTheme="minorEastAsia" w:hAnsiTheme="minorEastAsia" w:eastAsiaTheme="minorEastAsia"/>
          <w:b w:val="0"/>
          <w:color w:val="auto"/>
          <w:kern w:val="0"/>
          <w:sz w:val="24"/>
        </w:rPr>
        <w:t>长、局主要领导、相关局负责人全程指导</w:t>
      </w:r>
      <w:r>
        <w:rPr>
          <w:rFonts w:hint="eastAsia" w:asciiTheme="minorEastAsia" w:hAnsiTheme="minorEastAsia" w:eastAsiaTheme="minorEastAsia"/>
          <w:b w:val="0"/>
          <w:color w:val="auto"/>
          <w:sz w:val="24"/>
        </w:rPr>
        <w:t>参与，确保省示范校建设和验收圆满成功。《海宁市人民政府关于加快发展现代职业教育的实施意见》 提出“优化专业结构调整，做强汽修、财会、数控、烹饪、医药护理等骨干专业”的区域中职专业建设目标，</w:t>
      </w:r>
      <w:r>
        <w:rPr>
          <w:rFonts w:asciiTheme="minorEastAsia" w:hAnsiTheme="minorEastAsia" w:eastAsiaTheme="minorEastAsia"/>
          <w:b w:val="0"/>
          <w:color w:val="auto"/>
          <w:sz w:val="24"/>
        </w:rPr>
        <w:t>为</w:t>
      </w:r>
      <w:r>
        <w:rPr>
          <w:rFonts w:hint="eastAsia" w:asciiTheme="minorEastAsia" w:hAnsiTheme="minorEastAsia" w:eastAsiaTheme="minorEastAsia"/>
          <w:b w:val="0"/>
          <w:color w:val="auto"/>
          <w:sz w:val="24"/>
          <w:lang w:eastAsia="zh-CN"/>
        </w:rPr>
        <w:t>学校</w:t>
      </w:r>
      <w:r>
        <w:rPr>
          <w:rFonts w:asciiTheme="minorEastAsia" w:hAnsiTheme="minorEastAsia" w:eastAsiaTheme="minorEastAsia"/>
          <w:b w:val="0"/>
          <w:color w:val="auto"/>
          <w:sz w:val="24"/>
        </w:rPr>
        <w:t>中职</w:t>
      </w:r>
      <w:r>
        <w:rPr>
          <w:rFonts w:hint="eastAsia" w:asciiTheme="minorEastAsia" w:hAnsiTheme="minorEastAsia" w:eastAsiaTheme="minorEastAsia"/>
          <w:b w:val="0"/>
          <w:color w:val="auto"/>
          <w:sz w:val="24"/>
        </w:rPr>
        <w:t>卫生职业</w:t>
      </w:r>
      <w:r>
        <w:rPr>
          <w:rFonts w:asciiTheme="minorEastAsia" w:hAnsiTheme="minorEastAsia" w:eastAsiaTheme="minorEastAsia"/>
          <w:b w:val="0"/>
          <w:color w:val="auto"/>
          <w:sz w:val="24"/>
        </w:rPr>
        <w:t>教育</w:t>
      </w:r>
      <w:r>
        <w:rPr>
          <w:rFonts w:hint="eastAsia" w:asciiTheme="minorEastAsia" w:hAnsiTheme="minorEastAsia" w:eastAsiaTheme="minorEastAsia"/>
          <w:b w:val="0"/>
          <w:color w:val="auto"/>
          <w:sz w:val="24"/>
        </w:rPr>
        <w:t>的</w:t>
      </w:r>
      <w:r>
        <w:rPr>
          <w:rFonts w:asciiTheme="minorEastAsia" w:hAnsiTheme="minorEastAsia" w:eastAsiaTheme="minorEastAsia"/>
          <w:b w:val="0"/>
          <w:color w:val="auto"/>
          <w:sz w:val="24"/>
        </w:rPr>
        <w:t>加快发展提供了很好的</w:t>
      </w:r>
      <w:r>
        <w:rPr>
          <w:rFonts w:hint="eastAsia" w:asciiTheme="minorEastAsia" w:hAnsiTheme="minorEastAsia" w:eastAsiaTheme="minorEastAsia"/>
          <w:b w:val="0"/>
          <w:color w:val="auto"/>
          <w:sz w:val="24"/>
        </w:rPr>
        <w:t>政策</w:t>
      </w:r>
      <w:r>
        <w:rPr>
          <w:rFonts w:asciiTheme="minorEastAsia" w:hAnsiTheme="minorEastAsia" w:eastAsiaTheme="minorEastAsia"/>
          <w:b w:val="0"/>
          <w:color w:val="auto"/>
          <w:sz w:val="24"/>
        </w:rPr>
        <w:t>支持</w:t>
      </w:r>
      <w:r>
        <w:rPr>
          <w:rFonts w:hint="eastAsia" w:asciiTheme="minorEastAsia" w:hAnsiTheme="minorEastAsia" w:eastAsiaTheme="minorEastAsia"/>
          <w:b w:val="0"/>
          <w:color w:val="auto"/>
          <w:sz w:val="24"/>
        </w:rPr>
        <w:t>。</w:t>
      </w:r>
      <w:bookmarkEnd w:id="97"/>
      <w:bookmarkEnd w:id="98"/>
    </w:p>
    <w:p>
      <w:pPr>
        <w:pStyle w:val="2"/>
        <w:keepNext w:val="0"/>
        <w:keepLines w:val="0"/>
        <w:adjustRightInd w:val="0"/>
        <w:snapToGrid w:val="0"/>
        <w:spacing w:before="156" w:beforeLines="50" w:line="360" w:lineRule="auto"/>
        <w:rPr>
          <w:rFonts w:ascii="黑体" w:hAnsi="黑体" w:eastAsia="黑体" w:cs="黑体"/>
          <w:color w:val="auto"/>
          <w:sz w:val="30"/>
          <w:szCs w:val="30"/>
        </w:rPr>
      </w:pPr>
      <w:bookmarkStart w:id="99" w:name="_Toc471905961"/>
      <w:r>
        <w:rPr>
          <w:rFonts w:hint="eastAsia" w:ascii="黑体" w:hAnsi="黑体" w:eastAsia="黑体" w:cs="黑体"/>
          <w:color w:val="auto"/>
          <w:sz w:val="30"/>
          <w:szCs w:val="30"/>
        </w:rPr>
        <w:t>7.特色创新</w:t>
      </w:r>
      <w:bookmarkEnd w:id="92"/>
      <w:bookmarkEnd w:id="99"/>
      <w:bookmarkStart w:id="140" w:name="_GoBack"/>
      <w:bookmarkEnd w:id="140"/>
    </w:p>
    <w:p>
      <w:pPr>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学校立足海宁市中等职业教育“一综二特”发展规划，专业设置专而不杂，作为“一特”的中等卫生职业教育办学特色更加明显，服务地方社会经济和健康事业发展的能力更强。</w:t>
      </w:r>
      <w:r>
        <w:rPr>
          <w:rFonts w:hint="eastAsia" w:asciiTheme="minorEastAsia" w:hAnsiTheme="minorEastAsia" w:eastAsiaTheme="minorEastAsia"/>
          <w:color w:val="auto"/>
          <w:kern w:val="0"/>
          <w:sz w:val="24"/>
          <w:lang w:eastAsia="zh-CN"/>
        </w:rPr>
        <w:t>2017</w:t>
      </w:r>
      <w:r>
        <w:rPr>
          <w:rFonts w:hint="eastAsia" w:asciiTheme="minorEastAsia" w:hAnsiTheme="minorEastAsia" w:eastAsiaTheme="minorEastAsia"/>
          <w:color w:val="auto"/>
          <w:kern w:val="0"/>
          <w:sz w:val="24"/>
        </w:rPr>
        <w:t>年积累并形成了在中职学校中具有推广价值的以下典型案例。</w:t>
      </w:r>
    </w:p>
    <w:p>
      <w:pPr>
        <w:widowControl/>
        <w:snapToGrid w:val="0"/>
        <w:spacing w:line="360" w:lineRule="auto"/>
        <w:ind w:firstLine="482" w:firstLineChars="200"/>
        <w:jc w:val="left"/>
        <w:outlineLvl w:val="2"/>
        <w:rPr>
          <w:rFonts w:cs="宋体" w:asciiTheme="minorEastAsia" w:hAnsiTheme="minorEastAsia" w:eastAsiaTheme="minorEastAsia"/>
          <w:b/>
          <w:color w:val="auto"/>
          <w:kern w:val="0"/>
          <w:sz w:val="24"/>
          <w:szCs w:val="22"/>
        </w:rPr>
      </w:pPr>
      <w:bookmarkStart w:id="100" w:name="_Toc433043587"/>
      <w:bookmarkStart w:id="101" w:name="_Toc433043226"/>
      <w:bookmarkStart w:id="102" w:name="_Toc471905962"/>
      <w:bookmarkStart w:id="103" w:name="_Toc467049649"/>
      <w:bookmarkStart w:id="104" w:name="_Toc9206"/>
      <w:bookmarkStart w:id="105" w:name="_Toc32183"/>
      <w:r>
        <w:rPr>
          <w:rFonts w:hint="eastAsia" w:cs="宋体" w:asciiTheme="minorEastAsia" w:hAnsiTheme="minorEastAsia" w:eastAsiaTheme="minorEastAsia"/>
          <w:b/>
          <w:color w:val="auto"/>
          <w:kern w:val="0"/>
          <w:sz w:val="24"/>
          <w:szCs w:val="22"/>
        </w:rPr>
        <w:t>典型案例一：</w:t>
      </w:r>
      <w:bookmarkEnd w:id="100"/>
      <w:bookmarkEnd w:id="101"/>
      <w:bookmarkStart w:id="106" w:name="_Toc433043588"/>
      <w:bookmarkStart w:id="107" w:name="_Toc433043227"/>
      <w:r>
        <w:rPr>
          <w:rFonts w:hint="eastAsia" w:cs="宋体" w:asciiTheme="minorEastAsia" w:hAnsiTheme="minorEastAsia" w:eastAsiaTheme="minorEastAsia"/>
          <w:b/>
          <w:color w:val="auto"/>
          <w:kern w:val="0"/>
          <w:sz w:val="24"/>
          <w:szCs w:val="22"/>
        </w:rPr>
        <w:t>发挥专业优势，助力养老事业转型升级</w:t>
      </w:r>
      <w:bookmarkEnd w:id="102"/>
      <w:bookmarkEnd w:id="103"/>
    </w:p>
    <w:p>
      <w:pPr>
        <w:widowControl/>
        <w:snapToGrid w:val="0"/>
        <w:spacing w:line="360" w:lineRule="auto"/>
        <w:jc w:val="left"/>
        <w:rPr>
          <w:rFonts w:cs="宋体" w:asciiTheme="minorEastAsia" w:hAnsiTheme="minorEastAsia" w:eastAsiaTheme="minorEastAsia"/>
          <w:b/>
          <w:color w:val="auto"/>
          <w:kern w:val="0"/>
          <w:sz w:val="24"/>
          <w:szCs w:val="22"/>
        </w:rPr>
      </w:pPr>
      <w:r>
        <w:rPr>
          <w:rFonts w:cs="宋体" w:asciiTheme="minorEastAsia" w:hAnsiTheme="minorEastAsia" w:eastAsiaTheme="minorEastAsia"/>
          <w:color w:val="auto"/>
          <w:kern w:val="0"/>
          <w:sz w:val="24"/>
          <w:szCs w:val="22"/>
        </w:rPr>
        <w:t xml:space="preserve"> </w:t>
      </w:r>
      <w:r>
        <w:rPr>
          <w:rFonts w:hint="eastAsia" w:cs="宋体" w:asciiTheme="minorEastAsia" w:hAnsiTheme="minorEastAsia" w:eastAsiaTheme="minorEastAsia"/>
          <w:b/>
          <w:color w:val="auto"/>
          <w:kern w:val="0"/>
          <w:sz w:val="24"/>
          <w:szCs w:val="22"/>
        </w:rPr>
        <w:t xml:space="preserve">   </w:t>
      </w:r>
      <w:r>
        <w:rPr>
          <w:rFonts w:hint="eastAsia" w:cs="宋体" w:asciiTheme="minorEastAsia" w:hAnsiTheme="minorEastAsia" w:eastAsiaTheme="minorEastAsia"/>
          <w:color w:val="auto"/>
          <w:kern w:val="0"/>
          <w:sz w:val="24"/>
          <w:szCs w:val="22"/>
        </w:rPr>
        <w:t>本案例围绕国家“健康中国”战略，根据区域健康养老事业发展的人才需求，结合中职卫生学校护理专业办学实际，通过建立老年护理“产学研”基地培养培训平台，建立中职护理专业“1+X”养老护理课程体系等创新点，开展养老护理服务人才的培养和培训实践，为区域养老事业输送和储备了大量新鲜血液，提升了在职养老护理服务人员的专业服务能力，促进了区域养老护理服务的质量提升和专业化发展，为中职卫生类学校服务区域社会养老事业转型升级提供了借鉴经验。</w:t>
      </w:r>
    </w:p>
    <w:p>
      <w:pPr>
        <w:widowControl/>
        <w:snapToGrid w:val="0"/>
        <w:spacing w:line="360" w:lineRule="auto"/>
        <w:ind w:firstLine="482" w:firstLineChars="200"/>
        <w:jc w:val="left"/>
        <w:outlineLvl w:val="2"/>
        <w:rPr>
          <w:rFonts w:cs="宋体" w:asciiTheme="minorEastAsia" w:hAnsiTheme="minorEastAsia" w:eastAsiaTheme="minorEastAsia"/>
          <w:b/>
          <w:color w:val="auto"/>
          <w:kern w:val="0"/>
          <w:sz w:val="24"/>
          <w:szCs w:val="22"/>
        </w:rPr>
      </w:pPr>
      <w:bookmarkStart w:id="108" w:name="_Toc433043225"/>
      <w:bookmarkStart w:id="109" w:name="_Toc433043586"/>
      <w:bookmarkStart w:id="110" w:name="_Toc467049650"/>
      <w:bookmarkStart w:id="111" w:name="_Toc471905963"/>
      <w:r>
        <w:rPr>
          <w:rFonts w:hint="eastAsia" w:cs="宋体" w:asciiTheme="minorEastAsia" w:hAnsiTheme="minorEastAsia" w:eastAsiaTheme="minorEastAsia"/>
          <w:b/>
          <w:color w:val="auto"/>
          <w:kern w:val="0"/>
          <w:sz w:val="24"/>
          <w:szCs w:val="22"/>
        </w:rPr>
        <w:t>典型案例二：</w:t>
      </w:r>
      <w:bookmarkEnd w:id="108"/>
      <w:bookmarkEnd w:id="109"/>
      <w:r>
        <w:rPr>
          <w:rFonts w:hint="eastAsia" w:cs="宋体" w:asciiTheme="minorEastAsia" w:hAnsiTheme="minorEastAsia" w:eastAsiaTheme="minorEastAsia"/>
          <w:b/>
          <w:color w:val="auto"/>
          <w:kern w:val="0"/>
          <w:sz w:val="24"/>
          <w:szCs w:val="22"/>
        </w:rPr>
        <w:t>中职卫生学校复合型专业教师队伍建设的创新实践</w:t>
      </w:r>
      <w:bookmarkEnd w:id="110"/>
      <w:bookmarkEnd w:id="111"/>
    </w:p>
    <w:p>
      <w:pPr>
        <w:widowControl/>
        <w:snapToGrid w:val="0"/>
        <w:spacing w:line="360" w:lineRule="auto"/>
        <w:ind w:firstLine="480" w:firstLineChars="200"/>
        <w:jc w:val="left"/>
        <w:rPr>
          <w:rFonts w:cs="宋体" w:asciiTheme="minorEastAsia" w:hAnsiTheme="minorEastAsia" w:eastAsiaTheme="minorEastAsia"/>
          <w:color w:val="auto"/>
          <w:kern w:val="0"/>
          <w:sz w:val="24"/>
          <w:szCs w:val="22"/>
        </w:rPr>
      </w:pPr>
      <w:r>
        <w:rPr>
          <w:rFonts w:hint="eastAsia" w:cs="宋体" w:asciiTheme="minorEastAsia" w:hAnsiTheme="minorEastAsia" w:eastAsiaTheme="minorEastAsia"/>
          <w:color w:val="auto"/>
          <w:kern w:val="0"/>
          <w:sz w:val="24"/>
          <w:szCs w:val="22"/>
        </w:rPr>
        <w:t>本案例基于中职选择性课改背景下，积极贯彻《中等职业学校教师专业标准》，通过设置“复合型”专业教师“六元要素”评价标准和“四纬主体”检测方法，探索中职“复合型”专业教师“师德——医德”、“师能——医能”、“师岗——医岗”的复合培育路径和策略，促进卫生类专业教师的职业成长，提升了服务学生职业发展和专业成长的能力，有效促进了学校教育教学质量的提高。为中职学校专业教师的培养提供了可行性实践经验。</w:t>
      </w:r>
    </w:p>
    <w:p>
      <w:pPr>
        <w:widowControl/>
        <w:snapToGrid w:val="0"/>
        <w:spacing w:line="360" w:lineRule="auto"/>
        <w:ind w:firstLine="482" w:firstLineChars="200"/>
        <w:jc w:val="left"/>
        <w:rPr>
          <w:rFonts w:cs="宋体" w:asciiTheme="minorEastAsia" w:hAnsiTheme="minorEastAsia" w:eastAsiaTheme="minorEastAsia"/>
          <w:b/>
          <w:color w:val="auto"/>
          <w:kern w:val="0"/>
          <w:sz w:val="24"/>
          <w:szCs w:val="22"/>
        </w:rPr>
      </w:pPr>
      <w:r>
        <w:rPr>
          <w:rFonts w:hint="eastAsia" w:cs="宋体" w:asciiTheme="minorEastAsia" w:hAnsiTheme="minorEastAsia" w:eastAsiaTheme="minorEastAsia"/>
          <w:b/>
          <w:color w:val="auto"/>
          <w:kern w:val="0"/>
          <w:sz w:val="24"/>
          <w:szCs w:val="22"/>
        </w:rPr>
        <w:t>注：典型案例文本参见附件1、附件2。</w:t>
      </w:r>
    </w:p>
    <w:bookmarkEnd w:id="104"/>
    <w:bookmarkEnd w:id="106"/>
    <w:bookmarkEnd w:id="107"/>
    <w:p>
      <w:pPr>
        <w:pStyle w:val="2"/>
        <w:keepNext w:val="0"/>
        <w:keepLines w:val="0"/>
        <w:adjustRightInd w:val="0"/>
        <w:snapToGrid w:val="0"/>
        <w:spacing w:before="156" w:beforeLines="50" w:line="360" w:lineRule="auto"/>
        <w:rPr>
          <w:rFonts w:ascii="黑体" w:hAnsi="黑体" w:eastAsia="黑体" w:cs="黑体"/>
          <w:color w:val="auto"/>
          <w:sz w:val="30"/>
          <w:szCs w:val="30"/>
        </w:rPr>
      </w:pPr>
      <w:bookmarkStart w:id="112" w:name="_Toc471905964"/>
      <w:r>
        <w:rPr>
          <w:rFonts w:hint="eastAsia" w:ascii="黑体" w:hAnsi="黑体" w:eastAsia="黑体" w:cs="黑体"/>
          <w:color w:val="auto"/>
          <w:sz w:val="30"/>
          <w:szCs w:val="30"/>
        </w:rPr>
        <w:t>8.主要问题和改进措施</w:t>
      </w:r>
      <w:bookmarkEnd w:id="105"/>
      <w:bookmarkEnd w:id="112"/>
    </w:p>
    <w:p>
      <w:pPr>
        <w:pStyle w:val="3"/>
        <w:keepNext w:val="0"/>
        <w:keepLines w:val="0"/>
        <w:adjustRightInd w:val="0"/>
        <w:snapToGrid w:val="0"/>
        <w:spacing w:line="360" w:lineRule="auto"/>
        <w:ind w:firstLine="280" w:firstLineChars="100"/>
        <w:rPr>
          <w:b w:val="0"/>
          <w:color w:val="auto"/>
          <w:sz w:val="28"/>
          <w:szCs w:val="28"/>
        </w:rPr>
      </w:pPr>
      <w:bookmarkStart w:id="113" w:name="_Toc471905965"/>
      <w:bookmarkStart w:id="114" w:name="_Toc467049657"/>
      <w:bookmarkStart w:id="115" w:name="_Toc433043231"/>
      <w:bookmarkStart w:id="116" w:name="_Toc433043592"/>
      <w:r>
        <w:rPr>
          <w:rFonts w:hint="eastAsia"/>
          <w:b w:val="0"/>
          <w:color w:val="auto"/>
          <w:sz w:val="28"/>
          <w:szCs w:val="28"/>
        </w:rPr>
        <w:t>8.1信息化教学资源建设和应用有待进一步加强</w:t>
      </w:r>
      <w:bookmarkEnd w:id="113"/>
      <w:bookmarkEnd w:id="114"/>
    </w:p>
    <w:p>
      <w:pPr>
        <w:widowControl/>
        <w:snapToGrid w:val="0"/>
        <w:spacing w:line="360" w:lineRule="auto"/>
        <w:ind w:firstLine="480" w:firstLineChars="200"/>
        <w:jc w:val="left"/>
        <w:outlineLvl w:val="2"/>
        <w:rPr>
          <w:rFonts w:cs="宋体" w:asciiTheme="minorEastAsia" w:hAnsiTheme="minorEastAsia" w:eastAsiaTheme="minorEastAsia"/>
          <w:b/>
          <w:color w:val="auto"/>
          <w:kern w:val="0"/>
          <w:sz w:val="24"/>
        </w:rPr>
      </w:pPr>
      <w:bookmarkStart w:id="117" w:name="_Toc471905966"/>
      <w:bookmarkStart w:id="118" w:name="_Toc467049659"/>
      <w:bookmarkStart w:id="119" w:name="_Toc471905489"/>
      <w:r>
        <w:rPr>
          <w:rFonts w:hint="eastAsia" w:cs="宋体" w:asciiTheme="minorEastAsia" w:hAnsiTheme="minorEastAsia" w:eastAsiaTheme="minorEastAsia"/>
          <w:color w:val="auto"/>
          <w:kern w:val="0"/>
          <w:sz w:val="24"/>
          <w:lang w:eastAsia="zh-CN"/>
        </w:rPr>
        <w:t>2017</w:t>
      </w:r>
      <w:r>
        <w:rPr>
          <w:rFonts w:hint="eastAsia" w:cs="宋体" w:asciiTheme="minorEastAsia" w:hAnsiTheme="minorEastAsia" w:eastAsiaTheme="minorEastAsia"/>
          <w:color w:val="auto"/>
          <w:kern w:val="0"/>
          <w:sz w:val="24"/>
        </w:rPr>
        <w:t>年度，学校信息化教学资源建设通过自主开发、技术引进等手段，取得了长足的进步，已有了较好的基础，基本满足了教学和学生信息化学习的需求，但与飞速发展的信息化教学技术相比，还存在资源内容不够丰富、资源在线使用率不够高、教师信息化教学资源的开发和应用能力不足等问题。</w:t>
      </w:r>
      <w:bookmarkEnd w:id="117"/>
      <w:bookmarkEnd w:id="118"/>
      <w:bookmarkEnd w:id="119"/>
      <w:bookmarkStart w:id="120" w:name="_Toc467049660"/>
      <w:bookmarkStart w:id="121" w:name="_Toc471905967"/>
      <w:bookmarkStart w:id="122" w:name="_Toc471905490"/>
    </w:p>
    <w:p>
      <w:pPr>
        <w:widowControl/>
        <w:snapToGrid w:val="0"/>
        <w:spacing w:line="360" w:lineRule="auto"/>
        <w:ind w:left="315" w:leftChars="150"/>
        <w:jc w:val="left"/>
        <w:outlineLvl w:val="2"/>
        <w:rPr>
          <w:rFonts w:cs="宋体" w:asciiTheme="minorEastAsia" w:hAnsiTheme="minorEastAsia" w:eastAsiaTheme="minorEastAsia"/>
          <w:color w:val="auto"/>
          <w:kern w:val="0"/>
          <w:sz w:val="24"/>
        </w:rPr>
      </w:pPr>
      <w:r>
        <w:rPr>
          <w:rFonts w:hint="eastAsia" w:cs="宋体" w:asciiTheme="minorEastAsia" w:hAnsiTheme="minorEastAsia" w:eastAsiaTheme="minorEastAsia"/>
          <w:b/>
          <w:color w:val="auto"/>
          <w:kern w:val="0"/>
          <w:sz w:val="24"/>
        </w:rPr>
        <w:t>改进措施</w:t>
      </w:r>
      <w:bookmarkEnd w:id="120"/>
      <w:r>
        <w:rPr>
          <w:rFonts w:hint="eastAsia" w:cs="宋体" w:asciiTheme="minorEastAsia" w:hAnsiTheme="minorEastAsia" w:eastAsiaTheme="minorEastAsia"/>
          <w:b/>
          <w:color w:val="auto"/>
          <w:kern w:val="0"/>
          <w:sz w:val="24"/>
        </w:rPr>
        <w:t>：</w:t>
      </w:r>
      <w:bookmarkEnd w:id="121"/>
      <w:bookmarkEnd w:id="122"/>
      <w:bookmarkStart w:id="123" w:name="_Toc471905968"/>
      <w:bookmarkStart w:id="124" w:name="_Toc471905491"/>
      <w:bookmarkStart w:id="125" w:name="_Toc467049661"/>
      <w:r>
        <w:rPr>
          <w:rFonts w:cs="宋体" w:asciiTheme="minorEastAsia" w:hAnsiTheme="minorEastAsia" w:eastAsiaTheme="minorEastAsia"/>
          <w:b/>
          <w:color w:val="auto"/>
          <w:kern w:val="0"/>
          <w:sz w:val="24"/>
        </w:rPr>
        <w:br w:type="textWrapping"/>
      </w:r>
      <w:r>
        <w:rPr>
          <w:rFonts w:hint="eastAsia" w:cs="宋体" w:asciiTheme="minorEastAsia" w:hAnsiTheme="minorEastAsia" w:eastAsiaTheme="minorEastAsia"/>
          <w:color w:val="auto"/>
          <w:kern w:val="0"/>
          <w:sz w:val="24"/>
        </w:rPr>
        <w:t>①加大全体教师的信息化教学、资源开发能力的培训，让全体教师从教学一线实际出发，</w:t>
      </w:r>
    </w:p>
    <w:p>
      <w:pPr>
        <w:widowControl/>
        <w:snapToGrid w:val="0"/>
        <w:spacing w:line="360" w:lineRule="auto"/>
        <w:jc w:val="left"/>
        <w:outlineLvl w:val="2"/>
        <w:rPr>
          <w:rFonts w:cs="宋体" w:asciiTheme="minorEastAsia" w:hAnsiTheme="minorEastAsia" w:eastAsiaTheme="minorEastAsia"/>
          <w:b/>
          <w:color w:val="auto"/>
          <w:kern w:val="0"/>
          <w:sz w:val="24"/>
        </w:rPr>
      </w:pPr>
      <w:r>
        <w:rPr>
          <w:rFonts w:hint="eastAsia" w:cs="宋体" w:asciiTheme="minorEastAsia" w:hAnsiTheme="minorEastAsia" w:eastAsiaTheme="minorEastAsia"/>
          <w:color w:val="auto"/>
          <w:kern w:val="0"/>
          <w:sz w:val="24"/>
        </w:rPr>
        <w:t>使用和开发更切合专业教学和学生学习实际的信息化教学资源。</w:t>
      </w:r>
      <w:bookmarkEnd w:id="123"/>
      <w:bookmarkEnd w:id="124"/>
      <w:bookmarkEnd w:id="125"/>
    </w:p>
    <w:p>
      <w:pPr>
        <w:widowControl/>
        <w:snapToGrid w:val="0"/>
        <w:spacing w:line="360" w:lineRule="auto"/>
        <w:ind w:firstLine="360" w:firstLineChars="150"/>
        <w:jc w:val="left"/>
        <w:outlineLvl w:val="2"/>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②</w:t>
      </w:r>
      <w:bookmarkStart w:id="126" w:name="_Toc467049662"/>
      <w:bookmarkStart w:id="127" w:name="_Toc471905492"/>
      <w:bookmarkStart w:id="128" w:name="_Toc471905969"/>
      <w:r>
        <w:rPr>
          <w:rFonts w:hint="eastAsia" w:cs="宋体" w:asciiTheme="minorEastAsia" w:hAnsiTheme="minorEastAsia" w:eastAsiaTheme="minorEastAsia"/>
          <w:color w:val="auto"/>
          <w:kern w:val="0"/>
          <w:sz w:val="24"/>
        </w:rPr>
        <w:t>推进教学资源的应用，通过建设移动端学习资源、网络课程等，提高学生实习期间、假期自主学习的积极性，提升信息化教学资源的使用率。</w:t>
      </w:r>
      <w:bookmarkEnd w:id="126"/>
      <w:bookmarkEnd w:id="127"/>
      <w:bookmarkEnd w:id="128"/>
    </w:p>
    <w:p>
      <w:pPr>
        <w:widowControl/>
        <w:snapToGrid w:val="0"/>
        <w:spacing w:line="360" w:lineRule="auto"/>
        <w:ind w:firstLine="360" w:firstLineChars="150"/>
        <w:jc w:val="left"/>
        <w:outlineLvl w:val="2"/>
        <w:rPr>
          <w:rFonts w:cs="宋体" w:asciiTheme="minorEastAsia" w:hAnsiTheme="minorEastAsia" w:eastAsiaTheme="minorEastAsia"/>
          <w:b/>
          <w:color w:val="auto"/>
          <w:kern w:val="0"/>
          <w:sz w:val="24"/>
        </w:rPr>
      </w:pPr>
      <w:bookmarkStart w:id="129" w:name="_Toc471905493"/>
      <w:bookmarkStart w:id="130" w:name="_Toc471905970"/>
      <w:bookmarkStart w:id="131" w:name="_Toc467049663"/>
      <w:r>
        <w:rPr>
          <w:rFonts w:hint="eastAsia" w:cs="宋体" w:asciiTheme="minorEastAsia" w:hAnsiTheme="minorEastAsia" w:eastAsiaTheme="minorEastAsia"/>
          <w:color w:val="auto"/>
          <w:kern w:val="0"/>
          <w:sz w:val="24"/>
        </w:rPr>
        <w:t>③进一步加强与专业技术服务企业的合作，通过技术引进，弥补学校教师在信息化教学资源开发技术上的不足，增强教师信息化教学资源开发的动力和兴趣。</w:t>
      </w:r>
      <w:bookmarkEnd w:id="129"/>
      <w:bookmarkEnd w:id="130"/>
      <w:bookmarkEnd w:id="131"/>
    </w:p>
    <w:bookmarkEnd w:id="115"/>
    <w:bookmarkEnd w:id="116"/>
    <w:p>
      <w:pPr>
        <w:pStyle w:val="3"/>
        <w:keepNext w:val="0"/>
        <w:keepLines w:val="0"/>
        <w:adjustRightInd w:val="0"/>
        <w:snapToGrid w:val="0"/>
        <w:spacing w:line="360" w:lineRule="auto"/>
        <w:ind w:firstLine="280" w:firstLineChars="100"/>
        <w:rPr>
          <w:b w:val="0"/>
          <w:color w:val="auto"/>
          <w:sz w:val="28"/>
          <w:szCs w:val="28"/>
        </w:rPr>
      </w:pPr>
      <w:bookmarkStart w:id="132" w:name="_Toc467049664"/>
      <w:bookmarkStart w:id="133" w:name="_Toc471905971"/>
      <w:r>
        <w:rPr>
          <w:rFonts w:hint="eastAsia"/>
          <w:b w:val="0"/>
          <w:color w:val="auto"/>
          <w:sz w:val="28"/>
          <w:szCs w:val="28"/>
        </w:rPr>
        <w:t>8.2校企合作领域有待进一步拓展</w:t>
      </w:r>
      <w:bookmarkEnd w:id="132"/>
      <w:bookmarkEnd w:id="133"/>
    </w:p>
    <w:p>
      <w:pPr>
        <w:widowControl/>
        <w:snapToGrid w:val="0"/>
        <w:spacing w:line="360" w:lineRule="auto"/>
        <w:ind w:firstLine="480" w:firstLineChars="200"/>
        <w:jc w:val="left"/>
        <w:outlineLvl w:val="2"/>
        <w:rPr>
          <w:rFonts w:cs="宋体" w:asciiTheme="minorEastAsia" w:hAnsiTheme="minorEastAsia" w:eastAsiaTheme="minorEastAsia"/>
          <w:color w:val="auto"/>
          <w:kern w:val="0"/>
          <w:sz w:val="24"/>
        </w:rPr>
      </w:pPr>
      <w:bookmarkStart w:id="134" w:name="_Toc467049666"/>
      <w:bookmarkStart w:id="135" w:name="_Toc471905495"/>
      <w:bookmarkStart w:id="136" w:name="_Toc471905972"/>
      <w:r>
        <w:rPr>
          <w:rFonts w:hint="eastAsia" w:cs="宋体" w:asciiTheme="minorEastAsia" w:hAnsiTheme="minorEastAsia" w:eastAsiaTheme="minorEastAsia"/>
          <w:color w:val="auto"/>
          <w:kern w:val="0"/>
          <w:sz w:val="24"/>
        </w:rPr>
        <w:t>长期以来，学校行业办学特色鲜明，校企合作单位主要为公立医疗卫生单位，但随着社会健康产业的快速发展，学生就业趋势也从单一的医疗卫生单位向整个健康产业发生转变，目前与学校开展校企合作的健康服务企业数量和规模都有待进一步拓展。</w:t>
      </w:r>
      <w:bookmarkEnd w:id="134"/>
      <w:bookmarkEnd w:id="135"/>
      <w:bookmarkEnd w:id="136"/>
    </w:p>
    <w:p>
      <w:pPr>
        <w:widowControl/>
        <w:snapToGrid w:val="0"/>
        <w:spacing w:line="360" w:lineRule="auto"/>
        <w:ind w:firstLine="482" w:firstLineChars="200"/>
        <w:jc w:val="left"/>
        <w:outlineLvl w:val="2"/>
        <w:rPr>
          <w:rFonts w:cs="宋体" w:asciiTheme="minorEastAsia" w:hAnsiTheme="minorEastAsia" w:eastAsiaTheme="minorEastAsia"/>
          <w:b/>
          <w:color w:val="auto"/>
          <w:kern w:val="0"/>
          <w:sz w:val="24"/>
        </w:rPr>
      </w:pPr>
      <w:bookmarkStart w:id="137" w:name="_Toc467049667"/>
      <w:bookmarkStart w:id="138" w:name="_Toc471905496"/>
      <w:bookmarkStart w:id="139" w:name="_Toc471905973"/>
      <w:r>
        <w:rPr>
          <w:rFonts w:hint="eastAsia" w:cs="宋体" w:asciiTheme="minorEastAsia" w:hAnsiTheme="minorEastAsia" w:eastAsiaTheme="minorEastAsia"/>
          <w:b/>
          <w:color w:val="auto"/>
          <w:kern w:val="0"/>
          <w:sz w:val="24"/>
        </w:rPr>
        <w:t>改进措施</w:t>
      </w:r>
      <w:bookmarkEnd w:id="137"/>
      <w:r>
        <w:rPr>
          <w:rFonts w:hint="eastAsia" w:cs="宋体" w:asciiTheme="minorEastAsia" w:hAnsiTheme="minorEastAsia" w:eastAsiaTheme="minorEastAsia"/>
          <w:b/>
          <w:color w:val="auto"/>
          <w:kern w:val="0"/>
          <w:sz w:val="24"/>
        </w:rPr>
        <w:t>：</w:t>
      </w:r>
      <w:bookmarkEnd w:id="138"/>
      <w:bookmarkEnd w:id="139"/>
    </w:p>
    <w:p>
      <w:pPr>
        <w:widowControl/>
        <w:snapToGrid w:val="0"/>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①主动对接民营养老机构、月子会所、社会药店等健康服务企业，探索校企合作机制，推进中职卫生学校人才培养的转型。</w:t>
      </w:r>
    </w:p>
    <w:p>
      <w:pPr>
        <w:widowControl/>
        <w:snapToGrid w:val="0"/>
        <w:spacing w:line="360" w:lineRule="auto"/>
        <w:ind w:firstLine="480" w:firstLineChars="200"/>
        <w:jc w:val="left"/>
        <w:rPr>
          <w:rFonts w:cs="宋体" w:asciiTheme="minorEastAsia" w:hAnsiTheme="minorEastAsia" w:eastAsiaTheme="minorEastAsia"/>
          <w:b/>
          <w:color w:val="auto"/>
          <w:kern w:val="0"/>
          <w:sz w:val="24"/>
        </w:rPr>
      </w:pPr>
      <w:r>
        <w:rPr>
          <w:rFonts w:hint="eastAsia" w:cs="宋体" w:asciiTheme="minorEastAsia" w:hAnsiTheme="minorEastAsia" w:eastAsiaTheme="minorEastAsia"/>
          <w:color w:val="auto"/>
          <w:kern w:val="0"/>
          <w:sz w:val="24"/>
        </w:rPr>
        <w:t>②进</w:t>
      </w:r>
      <w:r>
        <w:rPr>
          <w:rFonts w:cs="宋体" w:asciiTheme="minorEastAsia" w:hAnsiTheme="minorEastAsia" w:eastAsiaTheme="minorEastAsia"/>
          <w:color w:val="auto"/>
          <w:kern w:val="0"/>
          <w:sz w:val="24"/>
        </w:rPr>
        <w:t>一步</w:t>
      </w:r>
      <w:r>
        <w:rPr>
          <w:rFonts w:hint="eastAsia" w:cs="宋体" w:asciiTheme="minorEastAsia" w:hAnsiTheme="minorEastAsia" w:eastAsiaTheme="minorEastAsia"/>
          <w:color w:val="auto"/>
          <w:kern w:val="0"/>
          <w:sz w:val="24"/>
        </w:rPr>
        <w:t>调研社会健康服务企业人才培养规格，结合选择性课程改革，拓展专业方向、开设专门化课程，促进中</w:t>
      </w:r>
      <w:r>
        <w:rPr>
          <w:rFonts w:cs="宋体" w:asciiTheme="minorEastAsia" w:hAnsiTheme="minorEastAsia" w:eastAsiaTheme="minorEastAsia"/>
          <w:color w:val="auto"/>
          <w:kern w:val="0"/>
          <w:sz w:val="24"/>
        </w:rPr>
        <w:t>职</w:t>
      </w:r>
      <w:r>
        <w:rPr>
          <w:rFonts w:hint="eastAsia" w:cs="宋体" w:asciiTheme="minorEastAsia" w:hAnsiTheme="minorEastAsia" w:eastAsiaTheme="minorEastAsia"/>
          <w:color w:val="auto"/>
          <w:kern w:val="0"/>
          <w:sz w:val="24"/>
        </w:rPr>
        <w:t>医药卫生专业向健康服务行业的转型试点，推动学校与健康服务企业在专业教学、资源共享、学生顶岗实习、就业等方面的深度合作。</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485338"/>
    </w:sdtPr>
    <w:sdtContent>
      <w:p>
        <w:pPr>
          <w:pStyle w:val="9"/>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kern w:val="0"/>
        <w:sz w:val="18"/>
        <w:szCs w:val="18"/>
        <w:u w:val="single"/>
      </w:rPr>
    </w:pPr>
    <w:r>
      <w:rPr>
        <w:kern w:val="0"/>
        <w:sz w:val="18"/>
        <w:szCs w:val="18"/>
      </w:rPr>
      <w:drawing>
        <wp:inline distT="0" distB="0" distL="0" distR="0">
          <wp:extent cx="263525" cy="263525"/>
          <wp:effectExtent l="0" t="0" r="3175" b="3175"/>
          <wp:docPr id="3" name="图片 3"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3525" cy="263525"/>
                  </a:xfrm>
                  <a:prstGeom prst="rect">
                    <a:avLst/>
                  </a:prstGeom>
                  <a:noFill/>
                  <a:ln>
                    <a:noFill/>
                  </a:ln>
                </pic:spPr>
              </pic:pic>
            </a:graphicData>
          </a:graphic>
        </wp:inline>
      </w:drawing>
    </w:r>
    <w:r>
      <w:rPr>
        <w:rFonts w:hint="eastAsia"/>
        <w:kern w:val="0"/>
        <w:sz w:val="18"/>
        <w:szCs w:val="18"/>
      </w:rPr>
      <w:t xml:space="preserve">浙江省海宁卫生学校                                                中等职业学校教育质量 </w:t>
    </w:r>
    <w:r>
      <w:rPr>
        <w:rFonts w:hint="eastAsia"/>
        <w:b/>
        <w:kern w:val="0"/>
        <w:sz w:val="18"/>
        <w:szCs w:val="18"/>
      </w:rPr>
      <w:t>20</w:t>
    </w:r>
    <w:r>
      <w:rPr>
        <w:rFonts w:hint="eastAsia"/>
        <w:b/>
        <w:kern w:val="0"/>
        <w:sz w:val="18"/>
        <w:szCs w:val="18"/>
        <w:lang w:val="en-US" w:eastAsia="zh-CN"/>
      </w:rPr>
      <w:t>17</w:t>
    </w:r>
    <w:r>
      <w:rPr>
        <w:rFonts w:hint="eastAsia"/>
        <w:kern w:val="0"/>
        <w:sz w:val="18"/>
        <w:szCs w:val="18"/>
      </w:rPr>
      <w:t>年度报告</w:t>
    </w:r>
  </w:p>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66AD9"/>
    <w:rsid w:val="00031907"/>
    <w:rsid w:val="00031D3E"/>
    <w:rsid w:val="000459F5"/>
    <w:rsid w:val="00045E71"/>
    <w:rsid w:val="00050C69"/>
    <w:rsid w:val="0005463D"/>
    <w:rsid w:val="00054D9F"/>
    <w:rsid w:val="0005508F"/>
    <w:rsid w:val="00073BF6"/>
    <w:rsid w:val="000905F6"/>
    <w:rsid w:val="000A1BEA"/>
    <w:rsid w:val="000A418A"/>
    <w:rsid w:val="000A62D7"/>
    <w:rsid w:val="000A6FA7"/>
    <w:rsid w:val="000C2469"/>
    <w:rsid w:val="000C3922"/>
    <w:rsid w:val="000C4470"/>
    <w:rsid w:val="000C4FE9"/>
    <w:rsid w:val="000D2F3C"/>
    <w:rsid w:val="000F24F1"/>
    <w:rsid w:val="000F4084"/>
    <w:rsid w:val="00105475"/>
    <w:rsid w:val="0010730B"/>
    <w:rsid w:val="00147024"/>
    <w:rsid w:val="0016299F"/>
    <w:rsid w:val="00193831"/>
    <w:rsid w:val="001A50E4"/>
    <w:rsid w:val="001B3490"/>
    <w:rsid w:val="001C546A"/>
    <w:rsid w:val="001C64CA"/>
    <w:rsid w:val="001C7E2C"/>
    <w:rsid w:val="001F15C0"/>
    <w:rsid w:val="001F67D5"/>
    <w:rsid w:val="00204A33"/>
    <w:rsid w:val="00211A3D"/>
    <w:rsid w:val="00230CD4"/>
    <w:rsid w:val="00233D57"/>
    <w:rsid w:val="0023438D"/>
    <w:rsid w:val="00244D28"/>
    <w:rsid w:val="00251183"/>
    <w:rsid w:val="00261647"/>
    <w:rsid w:val="00273207"/>
    <w:rsid w:val="00275701"/>
    <w:rsid w:val="002802EC"/>
    <w:rsid w:val="002918E4"/>
    <w:rsid w:val="002A5FD9"/>
    <w:rsid w:val="002B0935"/>
    <w:rsid w:val="002C25AA"/>
    <w:rsid w:val="002C27A9"/>
    <w:rsid w:val="002D0130"/>
    <w:rsid w:val="002D3360"/>
    <w:rsid w:val="002E44BE"/>
    <w:rsid w:val="003074CA"/>
    <w:rsid w:val="0031044F"/>
    <w:rsid w:val="00310DEE"/>
    <w:rsid w:val="00315E17"/>
    <w:rsid w:val="003205A7"/>
    <w:rsid w:val="00321D11"/>
    <w:rsid w:val="0032709C"/>
    <w:rsid w:val="003508AB"/>
    <w:rsid w:val="003618E1"/>
    <w:rsid w:val="00374C96"/>
    <w:rsid w:val="003800AA"/>
    <w:rsid w:val="003950A1"/>
    <w:rsid w:val="003A0CAC"/>
    <w:rsid w:val="003A559C"/>
    <w:rsid w:val="003B0AD2"/>
    <w:rsid w:val="003B1D53"/>
    <w:rsid w:val="003B516C"/>
    <w:rsid w:val="003C1AFD"/>
    <w:rsid w:val="003C480F"/>
    <w:rsid w:val="003C5440"/>
    <w:rsid w:val="003E07C0"/>
    <w:rsid w:val="003E27BA"/>
    <w:rsid w:val="003F3032"/>
    <w:rsid w:val="00407E64"/>
    <w:rsid w:val="00411F6F"/>
    <w:rsid w:val="00414B06"/>
    <w:rsid w:val="004224B4"/>
    <w:rsid w:val="00426F09"/>
    <w:rsid w:val="00432A84"/>
    <w:rsid w:val="004408BE"/>
    <w:rsid w:val="00441214"/>
    <w:rsid w:val="00441EA1"/>
    <w:rsid w:val="004504FD"/>
    <w:rsid w:val="004803F0"/>
    <w:rsid w:val="00483EF4"/>
    <w:rsid w:val="004A6D45"/>
    <w:rsid w:val="004E2590"/>
    <w:rsid w:val="004E3621"/>
    <w:rsid w:val="004E43DF"/>
    <w:rsid w:val="00511EF9"/>
    <w:rsid w:val="00516274"/>
    <w:rsid w:val="00525597"/>
    <w:rsid w:val="00534B45"/>
    <w:rsid w:val="00536670"/>
    <w:rsid w:val="00547669"/>
    <w:rsid w:val="00551A6D"/>
    <w:rsid w:val="005617BC"/>
    <w:rsid w:val="00581E61"/>
    <w:rsid w:val="00592600"/>
    <w:rsid w:val="005963E5"/>
    <w:rsid w:val="00597E00"/>
    <w:rsid w:val="005B279C"/>
    <w:rsid w:val="005D1E38"/>
    <w:rsid w:val="005F6E35"/>
    <w:rsid w:val="00600D4E"/>
    <w:rsid w:val="00637633"/>
    <w:rsid w:val="0065120E"/>
    <w:rsid w:val="006531CE"/>
    <w:rsid w:val="00656829"/>
    <w:rsid w:val="006661A2"/>
    <w:rsid w:val="00667DEF"/>
    <w:rsid w:val="00670119"/>
    <w:rsid w:val="00671D35"/>
    <w:rsid w:val="00686914"/>
    <w:rsid w:val="00692C87"/>
    <w:rsid w:val="00693FFA"/>
    <w:rsid w:val="006969B0"/>
    <w:rsid w:val="006B7AED"/>
    <w:rsid w:val="006C05E3"/>
    <w:rsid w:val="006C3DDA"/>
    <w:rsid w:val="006C40DD"/>
    <w:rsid w:val="006C6999"/>
    <w:rsid w:val="006D08A9"/>
    <w:rsid w:val="006D108B"/>
    <w:rsid w:val="006D1525"/>
    <w:rsid w:val="006D24BE"/>
    <w:rsid w:val="006E1252"/>
    <w:rsid w:val="00703255"/>
    <w:rsid w:val="007057DB"/>
    <w:rsid w:val="00711F94"/>
    <w:rsid w:val="00721B1E"/>
    <w:rsid w:val="00733789"/>
    <w:rsid w:val="0074751D"/>
    <w:rsid w:val="007516EF"/>
    <w:rsid w:val="00753894"/>
    <w:rsid w:val="00756527"/>
    <w:rsid w:val="007740BA"/>
    <w:rsid w:val="0079242C"/>
    <w:rsid w:val="00793CFA"/>
    <w:rsid w:val="007A5292"/>
    <w:rsid w:val="007A7517"/>
    <w:rsid w:val="007F34C7"/>
    <w:rsid w:val="007F3C5A"/>
    <w:rsid w:val="00811EE9"/>
    <w:rsid w:val="008267DA"/>
    <w:rsid w:val="00826EBF"/>
    <w:rsid w:val="0083551D"/>
    <w:rsid w:val="00854262"/>
    <w:rsid w:val="008775D7"/>
    <w:rsid w:val="008818B4"/>
    <w:rsid w:val="0089087F"/>
    <w:rsid w:val="00891F5D"/>
    <w:rsid w:val="008A1D97"/>
    <w:rsid w:val="008A433D"/>
    <w:rsid w:val="008B5D9B"/>
    <w:rsid w:val="008B7A82"/>
    <w:rsid w:val="008C0CA9"/>
    <w:rsid w:val="008E2696"/>
    <w:rsid w:val="008F0FD0"/>
    <w:rsid w:val="00903152"/>
    <w:rsid w:val="00904033"/>
    <w:rsid w:val="00905E60"/>
    <w:rsid w:val="00915104"/>
    <w:rsid w:val="009159E2"/>
    <w:rsid w:val="009442F9"/>
    <w:rsid w:val="00947EA8"/>
    <w:rsid w:val="009513D8"/>
    <w:rsid w:val="00953E47"/>
    <w:rsid w:val="0097226A"/>
    <w:rsid w:val="00984835"/>
    <w:rsid w:val="0098555C"/>
    <w:rsid w:val="00991E9B"/>
    <w:rsid w:val="009968BF"/>
    <w:rsid w:val="009A510B"/>
    <w:rsid w:val="009D3D1B"/>
    <w:rsid w:val="009E00A0"/>
    <w:rsid w:val="009E221E"/>
    <w:rsid w:val="009E3BC4"/>
    <w:rsid w:val="009F04F4"/>
    <w:rsid w:val="00A01198"/>
    <w:rsid w:val="00A01DFF"/>
    <w:rsid w:val="00A044E8"/>
    <w:rsid w:val="00A0454A"/>
    <w:rsid w:val="00A24164"/>
    <w:rsid w:val="00A24801"/>
    <w:rsid w:val="00A50CC8"/>
    <w:rsid w:val="00A61964"/>
    <w:rsid w:val="00A73A4B"/>
    <w:rsid w:val="00A85C37"/>
    <w:rsid w:val="00A96631"/>
    <w:rsid w:val="00AA334C"/>
    <w:rsid w:val="00AB55F4"/>
    <w:rsid w:val="00AC7C8B"/>
    <w:rsid w:val="00AE0A1C"/>
    <w:rsid w:val="00AE2572"/>
    <w:rsid w:val="00AE3358"/>
    <w:rsid w:val="00B073BE"/>
    <w:rsid w:val="00B12490"/>
    <w:rsid w:val="00B34504"/>
    <w:rsid w:val="00B45FC0"/>
    <w:rsid w:val="00B50F5B"/>
    <w:rsid w:val="00B5683E"/>
    <w:rsid w:val="00B74768"/>
    <w:rsid w:val="00B771A2"/>
    <w:rsid w:val="00B8591C"/>
    <w:rsid w:val="00B8733E"/>
    <w:rsid w:val="00B94A25"/>
    <w:rsid w:val="00BB1B62"/>
    <w:rsid w:val="00BB2C4A"/>
    <w:rsid w:val="00BB2D70"/>
    <w:rsid w:val="00BB78AF"/>
    <w:rsid w:val="00BD39F6"/>
    <w:rsid w:val="00BE1C78"/>
    <w:rsid w:val="00BE54B6"/>
    <w:rsid w:val="00BF21AD"/>
    <w:rsid w:val="00C00908"/>
    <w:rsid w:val="00C0763F"/>
    <w:rsid w:val="00C22AED"/>
    <w:rsid w:val="00C24320"/>
    <w:rsid w:val="00C269FF"/>
    <w:rsid w:val="00C414C6"/>
    <w:rsid w:val="00C41CE2"/>
    <w:rsid w:val="00C46032"/>
    <w:rsid w:val="00C5079A"/>
    <w:rsid w:val="00C51A12"/>
    <w:rsid w:val="00C54F16"/>
    <w:rsid w:val="00C60CA4"/>
    <w:rsid w:val="00C61107"/>
    <w:rsid w:val="00C62617"/>
    <w:rsid w:val="00C65A78"/>
    <w:rsid w:val="00C66E04"/>
    <w:rsid w:val="00C94580"/>
    <w:rsid w:val="00CA7E98"/>
    <w:rsid w:val="00CB5128"/>
    <w:rsid w:val="00CB5DB1"/>
    <w:rsid w:val="00CB7500"/>
    <w:rsid w:val="00CC0735"/>
    <w:rsid w:val="00CC490E"/>
    <w:rsid w:val="00CC6571"/>
    <w:rsid w:val="00CD76BD"/>
    <w:rsid w:val="00CE4E76"/>
    <w:rsid w:val="00D05F44"/>
    <w:rsid w:val="00D14048"/>
    <w:rsid w:val="00D4161C"/>
    <w:rsid w:val="00D43D5B"/>
    <w:rsid w:val="00D507CA"/>
    <w:rsid w:val="00D72F05"/>
    <w:rsid w:val="00D73146"/>
    <w:rsid w:val="00D765B5"/>
    <w:rsid w:val="00D802DF"/>
    <w:rsid w:val="00D807BB"/>
    <w:rsid w:val="00D851A3"/>
    <w:rsid w:val="00D862CB"/>
    <w:rsid w:val="00D87CA4"/>
    <w:rsid w:val="00D93F29"/>
    <w:rsid w:val="00D96DE5"/>
    <w:rsid w:val="00DA4611"/>
    <w:rsid w:val="00DB4DCB"/>
    <w:rsid w:val="00DB7D07"/>
    <w:rsid w:val="00DC0621"/>
    <w:rsid w:val="00DC5652"/>
    <w:rsid w:val="00DC5CBD"/>
    <w:rsid w:val="00DE68A5"/>
    <w:rsid w:val="00DE7876"/>
    <w:rsid w:val="00E04844"/>
    <w:rsid w:val="00E06CB9"/>
    <w:rsid w:val="00E2064D"/>
    <w:rsid w:val="00E3380B"/>
    <w:rsid w:val="00E44351"/>
    <w:rsid w:val="00E45784"/>
    <w:rsid w:val="00E46D69"/>
    <w:rsid w:val="00E557C7"/>
    <w:rsid w:val="00E613BA"/>
    <w:rsid w:val="00E62173"/>
    <w:rsid w:val="00E7149C"/>
    <w:rsid w:val="00E715BB"/>
    <w:rsid w:val="00E72821"/>
    <w:rsid w:val="00E7337C"/>
    <w:rsid w:val="00E77119"/>
    <w:rsid w:val="00E80F3E"/>
    <w:rsid w:val="00E8122B"/>
    <w:rsid w:val="00EB391B"/>
    <w:rsid w:val="00EB4B6F"/>
    <w:rsid w:val="00EB6594"/>
    <w:rsid w:val="00EC16DD"/>
    <w:rsid w:val="00EC5A82"/>
    <w:rsid w:val="00EC608E"/>
    <w:rsid w:val="00ED30C1"/>
    <w:rsid w:val="00ED6B51"/>
    <w:rsid w:val="00EE0108"/>
    <w:rsid w:val="00EF3A77"/>
    <w:rsid w:val="00EF6CF8"/>
    <w:rsid w:val="00F2088B"/>
    <w:rsid w:val="00F26674"/>
    <w:rsid w:val="00F276FC"/>
    <w:rsid w:val="00F44D50"/>
    <w:rsid w:val="00F45F70"/>
    <w:rsid w:val="00F754EC"/>
    <w:rsid w:val="00F878CE"/>
    <w:rsid w:val="00F964AE"/>
    <w:rsid w:val="00FD61B4"/>
    <w:rsid w:val="00FF6A05"/>
    <w:rsid w:val="016B0AD7"/>
    <w:rsid w:val="017F5CAA"/>
    <w:rsid w:val="02CF3742"/>
    <w:rsid w:val="04EE2F24"/>
    <w:rsid w:val="05C53435"/>
    <w:rsid w:val="05CF6B09"/>
    <w:rsid w:val="05DF322C"/>
    <w:rsid w:val="068953D5"/>
    <w:rsid w:val="06A155E6"/>
    <w:rsid w:val="07790BD7"/>
    <w:rsid w:val="092D6522"/>
    <w:rsid w:val="0A9960F9"/>
    <w:rsid w:val="0AB270A6"/>
    <w:rsid w:val="0BBD2F01"/>
    <w:rsid w:val="0FB140CC"/>
    <w:rsid w:val="10627154"/>
    <w:rsid w:val="10857DCC"/>
    <w:rsid w:val="10EB41E4"/>
    <w:rsid w:val="13E1149F"/>
    <w:rsid w:val="13EA5B41"/>
    <w:rsid w:val="19D523B2"/>
    <w:rsid w:val="1AAA6135"/>
    <w:rsid w:val="1B0E6704"/>
    <w:rsid w:val="1B225691"/>
    <w:rsid w:val="1E895DB9"/>
    <w:rsid w:val="1F130376"/>
    <w:rsid w:val="1FC17D18"/>
    <w:rsid w:val="204E5BCD"/>
    <w:rsid w:val="21376B34"/>
    <w:rsid w:val="221D0B9F"/>
    <w:rsid w:val="24394B45"/>
    <w:rsid w:val="24A903F1"/>
    <w:rsid w:val="24D60810"/>
    <w:rsid w:val="25161681"/>
    <w:rsid w:val="2518540E"/>
    <w:rsid w:val="26B62C2C"/>
    <w:rsid w:val="26CD72AC"/>
    <w:rsid w:val="275D458F"/>
    <w:rsid w:val="27780F5D"/>
    <w:rsid w:val="27CA6947"/>
    <w:rsid w:val="28C66AD9"/>
    <w:rsid w:val="2C3920A8"/>
    <w:rsid w:val="2C485368"/>
    <w:rsid w:val="2C923B75"/>
    <w:rsid w:val="2E632CD2"/>
    <w:rsid w:val="2EAD75C5"/>
    <w:rsid w:val="2ED85D96"/>
    <w:rsid w:val="2FBD586C"/>
    <w:rsid w:val="303A4B56"/>
    <w:rsid w:val="31462EE7"/>
    <w:rsid w:val="32322C7F"/>
    <w:rsid w:val="331327BC"/>
    <w:rsid w:val="39DE6120"/>
    <w:rsid w:val="3A1C378A"/>
    <w:rsid w:val="3AFF0DBE"/>
    <w:rsid w:val="3B32309A"/>
    <w:rsid w:val="3BEE55BD"/>
    <w:rsid w:val="3C936CC2"/>
    <w:rsid w:val="3E2A7D7C"/>
    <w:rsid w:val="3F310619"/>
    <w:rsid w:val="3F423AF4"/>
    <w:rsid w:val="41232E1B"/>
    <w:rsid w:val="41D45222"/>
    <w:rsid w:val="435F5783"/>
    <w:rsid w:val="442632E8"/>
    <w:rsid w:val="442A06CF"/>
    <w:rsid w:val="44526F1E"/>
    <w:rsid w:val="44A23C32"/>
    <w:rsid w:val="44F4361B"/>
    <w:rsid w:val="474F2E12"/>
    <w:rsid w:val="480027DF"/>
    <w:rsid w:val="490975E1"/>
    <w:rsid w:val="497C3EE3"/>
    <w:rsid w:val="4CBB2AB7"/>
    <w:rsid w:val="4E49075E"/>
    <w:rsid w:val="50B351A9"/>
    <w:rsid w:val="51A26B51"/>
    <w:rsid w:val="522A48A8"/>
    <w:rsid w:val="53163B05"/>
    <w:rsid w:val="549B3100"/>
    <w:rsid w:val="56C50E28"/>
    <w:rsid w:val="57A33725"/>
    <w:rsid w:val="587355A9"/>
    <w:rsid w:val="58802A2D"/>
    <w:rsid w:val="59A0544E"/>
    <w:rsid w:val="5A454D4D"/>
    <w:rsid w:val="5AF202A3"/>
    <w:rsid w:val="5B5B41AD"/>
    <w:rsid w:val="5BE45D39"/>
    <w:rsid w:val="5D450435"/>
    <w:rsid w:val="5E3C2771"/>
    <w:rsid w:val="5ED14094"/>
    <w:rsid w:val="61CD5B7B"/>
    <w:rsid w:val="633D2919"/>
    <w:rsid w:val="6462475E"/>
    <w:rsid w:val="6A961499"/>
    <w:rsid w:val="6C954B38"/>
    <w:rsid w:val="6D46167F"/>
    <w:rsid w:val="6D541C6C"/>
    <w:rsid w:val="6DB34717"/>
    <w:rsid w:val="6E0173FC"/>
    <w:rsid w:val="6F284219"/>
    <w:rsid w:val="6FA90C62"/>
    <w:rsid w:val="71915D5C"/>
    <w:rsid w:val="73352B3E"/>
    <w:rsid w:val="753D1601"/>
    <w:rsid w:val="7706345D"/>
    <w:rsid w:val="78AF6E4E"/>
    <w:rsid w:val="7B752D65"/>
    <w:rsid w:val="7CCC20F6"/>
    <w:rsid w:val="7DBB423E"/>
    <w:rsid w:val="7DF2754A"/>
    <w:rsid w:val="7F4D2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2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unhideWhenUsed/>
    <w:qFormat/>
    <w:uiPriority w:val="0"/>
    <w:pPr>
      <w:spacing w:after="120"/>
    </w:pPr>
    <w:rPr>
      <w:rFonts w:ascii="Times New Roman" w:hAnsi="Times New Roman"/>
      <w:szCs w:val="21"/>
    </w:rPr>
  </w:style>
  <w:style w:type="paragraph" w:styleId="6">
    <w:name w:val="toc 3"/>
    <w:basedOn w:val="1"/>
    <w:next w:val="1"/>
    <w:qFormat/>
    <w:uiPriority w:val="39"/>
    <w:pPr>
      <w:tabs>
        <w:tab w:val="right" w:leader="dot" w:pos="9736"/>
      </w:tabs>
      <w:spacing w:line="360" w:lineRule="auto"/>
      <w:ind w:left="840" w:leftChars="400"/>
    </w:pPr>
  </w:style>
  <w:style w:type="paragraph" w:styleId="7">
    <w:name w:val="Body Text Indent 2"/>
    <w:basedOn w:val="1"/>
    <w:unhideWhenUsed/>
    <w:qFormat/>
    <w:uiPriority w:val="0"/>
    <w:pPr>
      <w:ind w:firstLine="435"/>
    </w:pPr>
    <w:rPr>
      <w:sz w:val="28"/>
      <w:szCs w:val="24"/>
    </w:rPr>
  </w:style>
  <w:style w:type="paragraph" w:styleId="8">
    <w:name w:val="Balloon Text"/>
    <w:basedOn w:val="1"/>
    <w:link w:val="20"/>
    <w:qFormat/>
    <w:uiPriority w:val="0"/>
    <w:rPr>
      <w:sz w:val="18"/>
      <w:szCs w:val="18"/>
    </w:rPr>
  </w:style>
  <w:style w:type="paragraph" w:styleId="9">
    <w:name w:val="footer"/>
    <w:basedOn w:val="1"/>
    <w:link w:val="27"/>
    <w:qFormat/>
    <w:uiPriority w:val="99"/>
    <w:pPr>
      <w:tabs>
        <w:tab w:val="center" w:pos="4153"/>
        <w:tab w:val="right" w:pos="8306"/>
      </w:tabs>
      <w:snapToGrid w:val="0"/>
      <w:jc w:val="left"/>
    </w:pPr>
    <w:rPr>
      <w:sz w:val="18"/>
    </w:rPr>
  </w:style>
  <w:style w:type="paragraph" w:styleId="10">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spacing w:beforeAutospacing="1" w:afterAutospacing="1"/>
      <w:jc w:val="left"/>
    </w:pPr>
    <w:rPr>
      <w:kern w:val="0"/>
      <w:sz w:val="24"/>
    </w:rPr>
  </w:style>
  <w:style w:type="character" w:styleId="16">
    <w:name w:val="Strong"/>
    <w:qFormat/>
    <w:uiPriority w:val="0"/>
    <w:rPr>
      <w:rFonts w:cs="Times New Roman"/>
      <w:b/>
    </w:rPr>
  </w:style>
  <w:style w:type="character" w:styleId="17">
    <w:name w:val="FollowedHyperlink"/>
    <w:basedOn w:val="15"/>
    <w:unhideWhenUsed/>
    <w:qFormat/>
    <w:uiPriority w:val="0"/>
    <w:rPr>
      <w:color w:val="800080" w:themeColor="followedHyperlink"/>
      <w:u w:val="single"/>
      <w14:textFill>
        <w14:solidFill>
          <w14:schemeClr w14:val="folHlink"/>
        </w14:solidFill>
      </w14:textFill>
    </w:rPr>
  </w:style>
  <w:style w:type="character" w:styleId="18">
    <w:name w:val="Hyperlink"/>
    <w:qFormat/>
    <w:uiPriority w:val="99"/>
    <w:rPr>
      <w:color w:val="000000"/>
      <w:sz w:val="18"/>
      <w:szCs w:val="18"/>
      <w:u w:val="none"/>
    </w:rPr>
  </w:style>
  <w:style w:type="character" w:customStyle="1" w:styleId="19">
    <w:name w:val="font01"/>
    <w:qFormat/>
    <w:uiPriority w:val="0"/>
    <w:rPr>
      <w:rFonts w:hint="eastAsia" w:ascii="宋体" w:hAnsi="宋体" w:eastAsia="宋体" w:cs="宋体"/>
      <w:color w:val="000000"/>
      <w:sz w:val="22"/>
      <w:szCs w:val="22"/>
      <w:u w:val="none"/>
    </w:rPr>
  </w:style>
  <w:style w:type="character" w:customStyle="1" w:styleId="20">
    <w:name w:val="批注框文本 Char"/>
    <w:link w:val="8"/>
    <w:qFormat/>
    <w:uiPriority w:val="0"/>
    <w:rPr>
      <w:rFonts w:ascii="Calibri" w:hAnsi="Calibri" w:eastAsia="宋体" w:cs="Times New Roman"/>
      <w:kern w:val="2"/>
      <w:sz w:val="18"/>
      <w:szCs w:val="18"/>
    </w:rPr>
  </w:style>
  <w:style w:type="character" w:customStyle="1" w:styleId="21">
    <w:name w:val="标题 2 Char"/>
    <w:link w:val="3"/>
    <w:qFormat/>
    <w:uiPriority w:val="0"/>
    <w:rPr>
      <w:rFonts w:ascii="Arial" w:hAnsi="Arial" w:eastAsia="黑体"/>
      <w:b/>
      <w:kern w:val="2"/>
      <w:sz w:val="32"/>
      <w:szCs w:val="24"/>
    </w:rPr>
  </w:style>
  <w:style w:type="paragraph" w:customStyle="1" w:styleId="22">
    <w:name w:val="TOC Heading"/>
    <w:basedOn w:val="2"/>
    <w:next w:val="1"/>
    <w:unhideWhenUsed/>
    <w:qFormat/>
    <w:uiPriority w:val="39"/>
    <w:pPr>
      <w:widowControl/>
      <w:spacing w:before="480" w:line="276" w:lineRule="auto"/>
      <w:jc w:val="left"/>
      <w:outlineLvl w:val="9"/>
    </w:pPr>
    <w:rPr>
      <w:rFonts w:ascii="Cambria" w:hAnsi="Cambria"/>
      <w:bCs/>
      <w:color w:val="365F91"/>
      <w:kern w:val="0"/>
      <w:sz w:val="28"/>
      <w:szCs w:val="28"/>
    </w:rPr>
  </w:style>
  <w:style w:type="paragraph" w:customStyle="1" w:styleId="23">
    <w:name w:val="Char"/>
    <w:basedOn w:val="1"/>
    <w:qFormat/>
    <w:uiPriority w:val="0"/>
    <w:rPr>
      <w:rFonts w:ascii="Times New Roman" w:hAnsi="Times New Roman"/>
    </w:rPr>
  </w:style>
  <w:style w:type="paragraph" w:customStyle="1" w:styleId="24">
    <w:name w:val="Char1"/>
    <w:basedOn w:val="1"/>
    <w:qFormat/>
    <w:uiPriority w:val="0"/>
    <w:rPr>
      <w:rFonts w:ascii="Times New Roman" w:hAnsi="Times New Roman"/>
    </w:rPr>
  </w:style>
  <w:style w:type="paragraph" w:customStyle="1" w:styleId="25">
    <w:name w:val="List Paragraph"/>
    <w:basedOn w:val="1"/>
    <w:unhideWhenUsed/>
    <w:qFormat/>
    <w:uiPriority w:val="99"/>
    <w:pPr>
      <w:ind w:firstLine="420" w:firstLineChars="200"/>
    </w:pPr>
  </w:style>
  <w:style w:type="character" w:customStyle="1" w:styleId="26">
    <w:name w:val="页眉 Char"/>
    <w:basedOn w:val="15"/>
    <w:link w:val="10"/>
    <w:qFormat/>
    <w:uiPriority w:val="99"/>
    <w:rPr>
      <w:rFonts w:ascii="Calibri" w:hAnsi="Calibri"/>
      <w:kern w:val="2"/>
      <w:sz w:val="18"/>
      <w:szCs w:val="24"/>
    </w:rPr>
  </w:style>
  <w:style w:type="character" w:customStyle="1" w:styleId="27">
    <w:name w:val="页脚 Char"/>
    <w:basedOn w:val="15"/>
    <w:link w:val="9"/>
    <w:qFormat/>
    <w:uiPriority w:val="99"/>
    <w:rPr>
      <w:rFonts w:ascii="Calibri" w:hAnsi="Calibri"/>
      <w:kern w:val="2"/>
      <w:sz w:val="18"/>
      <w:szCs w:val="24"/>
    </w:rPr>
  </w:style>
  <w:style w:type="paragraph" w:customStyle="1" w:styleId="2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Sheet1!$A$2:$A$8</c:f>
              <c:strCache>
                <c:ptCount val="7"/>
                <c:pt idx="0">
                  <c:v>理论学习</c:v>
                </c:pt>
                <c:pt idx="1">
                  <c:v>专业学习</c:v>
                </c:pt>
                <c:pt idx="2">
                  <c:v>实习实训</c:v>
                </c:pt>
                <c:pt idx="3">
                  <c:v>校园文化与社团活动</c:v>
                </c:pt>
                <c:pt idx="4">
                  <c:v>生活</c:v>
                </c:pt>
                <c:pt idx="5">
                  <c:v>校园安全</c:v>
                </c:pt>
                <c:pt idx="6">
                  <c:v>毕业生对学校</c:v>
                </c:pt>
              </c:strCache>
            </c:strRef>
          </c:cat>
          <c:val>
            <c:numRef>
              <c:f>Sheet1!$B$2:$B$8</c:f>
              <c:numCache>
                <c:formatCode>0.00%</c:formatCode>
                <c:ptCount val="7"/>
                <c:pt idx="0">
                  <c:v>0.9825</c:v>
                </c:pt>
                <c:pt idx="1">
                  <c:v>0.9912</c:v>
                </c:pt>
                <c:pt idx="2">
                  <c:v>0.9865</c:v>
                </c:pt>
                <c:pt idx="3">
                  <c:v>0.9876</c:v>
                </c:pt>
                <c:pt idx="4">
                  <c:v>0.9502</c:v>
                </c:pt>
                <c:pt idx="5">
                  <c:v>0.9986</c:v>
                </c:pt>
                <c:pt idx="6">
                  <c:v>0.9866</c:v>
                </c:pt>
              </c:numCache>
            </c:numRef>
          </c:val>
        </c:ser>
        <c:ser>
          <c:idx val="2"/>
          <c:order val="1"/>
          <c:tx>
            <c:strRef>
              <c:f>Sheet1!$D$1</c:f>
              <c:strCache>
                <c:ptCount val="1"/>
                <c:pt idx="0">
                  <c:v>系列 3</c:v>
                </c:pt>
              </c:strCache>
            </c:strRef>
          </c:tx>
          <c:invertIfNegative val="0"/>
          <c:dLbls>
            <c:delete val="1"/>
          </c:dLbls>
          <c:cat>
            <c:strRef>
              <c:f>Sheet1!$A$2:$A$8</c:f>
              <c:strCache>
                <c:ptCount val="7"/>
                <c:pt idx="0">
                  <c:v>理论学习</c:v>
                </c:pt>
                <c:pt idx="1">
                  <c:v>专业学习</c:v>
                </c:pt>
                <c:pt idx="2">
                  <c:v>实习实训</c:v>
                </c:pt>
                <c:pt idx="3">
                  <c:v>校园文化与社团活动</c:v>
                </c:pt>
                <c:pt idx="4">
                  <c:v>生活</c:v>
                </c:pt>
                <c:pt idx="5">
                  <c:v>校园安全</c:v>
                </c:pt>
                <c:pt idx="6">
                  <c:v>毕业生对学校</c:v>
                </c:pt>
              </c:strCache>
            </c:strRef>
          </c:cat>
          <c:val>
            <c:numRef>
              <c:f>Sheet1!$D$2:$D$8</c:f>
            </c:numRef>
          </c:val>
        </c:ser>
        <c:ser>
          <c:idx val="3"/>
          <c:order val="2"/>
          <c:tx>
            <c:strRef>
              <c:f>Sheet1!$E$1</c:f>
              <c:strCache>
                <c:ptCount val="1"/>
                <c:pt idx="0">
                  <c:v>系列 4</c:v>
                </c:pt>
              </c:strCache>
            </c:strRef>
          </c:tx>
          <c:invertIfNegative val="0"/>
          <c:dLbls>
            <c:delete val="1"/>
          </c:dLbls>
          <c:cat>
            <c:strRef>
              <c:f>Sheet1!$A$2:$A$8</c:f>
              <c:strCache>
                <c:ptCount val="7"/>
                <c:pt idx="0">
                  <c:v>理论学习</c:v>
                </c:pt>
                <c:pt idx="1">
                  <c:v>专业学习</c:v>
                </c:pt>
                <c:pt idx="2">
                  <c:v>实习实训</c:v>
                </c:pt>
                <c:pt idx="3">
                  <c:v>校园文化与社团活动</c:v>
                </c:pt>
                <c:pt idx="4">
                  <c:v>生活</c:v>
                </c:pt>
                <c:pt idx="5">
                  <c:v>校园安全</c:v>
                </c:pt>
                <c:pt idx="6">
                  <c:v>毕业生对学校</c:v>
                </c:pt>
              </c:strCache>
            </c:strRef>
          </c:cat>
          <c:val>
            <c:numRef>
              <c:f>Sheet1!$E$2:$E$8</c:f>
            </c:numRef>
          </c:val>
        </c:ser>
        <c:ser>
          <c:idx val="4"/>
          <c:order val="3"/>
          <c:tx>
            <c:strRef>
              <c:f>Sheet1!$F$1</c:f>
              <c:strCache>
                <c:ptCount val="1"/>
                <c:pt idx="0">
                  <c:v>系列 5</c:v>
                </c:pt>
              </c:strCache>
            </c:strRef>
          </c:tx>
          <c:invertIfNegative val="0"/>
          <c:dLbls>
            <c:delete val="1"/>
          </c:dLbls>
          <c:cat>
            <c:strRef>
              <c:f>Sheet1!$A$2:$A$8</c:f>
              <c:strCache>
                <c:ptCount val="7"/>
                <c:pt idx="0">
                  <c:v>理论学习</c:v>
                </c:pt>
                <c:pt idx="1">
                  <c:v>专业学习</c:v>
                </c:pt>
                <c:pt idx="2">
                  <c:v>实习实训</c:v>
                </c:pt>
                <c:pt idx="3">
                  <c:v>校园文化与社团活动</c:v>
                </c:pt>
                <c:pt idx="4">
                  <c:v>生活</c:v>
                </c:pt>
                <c:pt idx="5">
                  <c:v>校园安全</c:v>
                </c:pt>
                <c:pt idx="6">
                  <c:v>毕业生对学校</c:v>
                </c:pt>
              </c:strCache>
            </c:strRef>
          </c:cat>
          <c:val>
            <c:numRef>
              <c:f>Sheet1!$F$2:$F$8</c:f>
            </c:numRef>
          </c:val>
        </c:ser>
        <c:ser>
          <c:idx val="5"/>
          <c:order val="4"/>
          <c:tx>
            <c:strRef>
              <c:f>Sheet1!$G$1</c:f>
              <c:strCache>
                <c:ptCount val="1"/>
                <c:pt idx="0">
                  <c:v>系列 6</c:v>
                </c:pt>
              </c:strCache>
            </c:strRef>
          </c:tx>
          <c:invertIfNegative val="0"/>
          <c:dLbls>
            <c:delete val="1"/>
          </c:dLbls>
          <c:cat>
            <c:strRef>
              <c:f>Sheet1!$A$2:$A$8</c:f>
              <c:strCache>
                <c:ptCount val="7"/>
                <c:pt idx="0">
                  <c:v>理论学习</c:v>
                </c:pt>
                <c:pt idx="1">
                  <c:v>专业学习</c:v>
                </c:pt>
                <c:pt idx="2">
                  <c:v>实习实训</c:v>
                </c:pt>
                <c:pt idx="3">
                  <c:v>校园文化与社团活动</c:v>
                </c:pt>
                <c:pt idx="4">
                  <c:v>生活</c:v>
                </c:pt>
                <c:pt idx="5">
                  <c:v>校园安全</c:v>
                </c:pt>
                <c:pt idx="6">
                  <c:v>毕业生对学校</c:v>
                </c:pt>
              </c:strCache>
            </c:strRef>
          </c:cat>
          <c:val>
            <c:numRef>
              <c:f>Sheet1!$G$2:$G$8</c:f>
            </c:numRef>
          </c:val>
        </c:ser>
        <c:dLbls>
          <c:showLegendKey val="0"/>
          <c:showVal val="0"/>
          <c:showCatName val="0"/>
          <c:showSerName val="0"/>
          <c:showPercent val="0"/>
          <c:showBubbleSize val="0"/>
        </c:dLbls>
        <c:gapWidth val="150"/>
        <c:overlap val="100"/>
        <c:axId val="185419264"/>
        <c:axId val="185420800"/>
      </c:barChart>
      <c:catAx>
        <c:axId val="18541926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5420800"/>
        <c:crosses val="autoZero"/>
        <c:auto val="1"/>
        <c:lblAlgn val="ctr"/>
        <c:lblOffset val="100"/>
        <c:noMultiLvlLbl val="0"/>
      </c:catAx>
      <c:valAx>
        <c:axId val="185420800"/>
        <c:scaling>
          <c:orientation val="minMax"/>
          <c:max val="1"/>
          <c:min val="0"/>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541926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95C16-4FC7-47B2-AD1C-FA7EC23E8F2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3659</Words>
  <Characters>20860</Characters>
  <Lines>173</Lines>
  <Paragraphs>48</Paragraphs>
  <TotalTime>3</TotalTime>
  <ScaleCrop>false</ScaleCrop>
  <LinksUpToDate>false</LinksUpToDate>
  <CharactersWithSpaces>24471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2017-01-10T07:47:00Z</dcterms:created>
  <dc:creator>Administrator</dc:creator>
  <cp:lastModifiedBy>Niwu</cp:lastModifiedBy>
  <cp:lastPrinted>2018-03-07T01:27:00Z</cp:lastPrinted>
  <dcterms:modified xsi:type="dcterms:W3CDTF">2020-10-29T06:24:17Z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